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26.05.2021 г.  </w:t>
      </w:r>
      <w:r>
        <w:rPr>
          <w:sz w:val="26"/>
        </w:rPr>
        <w:t xml:space="preserve">№  </w:t>
      </w:r>
      <w:r>
        <w:rPr>
          <w:sz w:val="26"/>
        </w:rPr>
        <w:t>399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25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.05.2021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Невская,15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548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663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0,15</w:t>
      </w:r>
      <w:r>
        <w:rPr>
          <w:sz w:val="26"/>
          <w:szCs w:val="26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Невская,1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3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497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662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0,17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Невская,1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1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497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661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0,17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9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496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660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0,18 </w:t>
      </w:r>
      <w:r>
        <w:rPr>
          <w:sz w:val="26"/>
          <w:szCs w:val="26"/>
          <w:lang w:eastAsia="en-US"/>
        </w:rPr>
        <w:t>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7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471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659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0,23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Невская,5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491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658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0,2</w:t>
      </w:r>
      <w:r>
        <w:rPr>
          <w:sz w:val="26"/>
          <w:szCs w:val="26"/>
          <w:lang w:eastAsia="en-US"/>
        </w:rPr>
        <w:t xml:space="preserve"> м.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668</TotalTime>
  <Application>LibreOffice/7.0.2.2$Windows_x86 LibreOffice_project/8349ace3c3162073abd90d81fd06dcfb6b36b994</Application>
  <Pages>2</Pages>
  <Words>357</Words>
  <Characters>2875</Characters>
  <CharactersWithSpaces>3397</CharactersWithSpaces>
  <Paragraphs>29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2021-05-27T08:26:04Z</cp:lastPrinted>
  <dcterms:modified xsi:type="dcterms:W3CDTF">2021-05-31T13:37:01Z</dcterms:modified>
  <cp:revision>63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