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 22.05.2023    №   280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08.06.2023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Привольная,68,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19:10:050306:4965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</w:t>
      </w:r>
      <w:r>
        <w:rPr>
          <w:b w:val="false"/>
          <w:bCs w:val="false"/>
          <w:sz w:val="26"/>
          <w:szCs w:val="26"/>
        </w:rPr>
        <w:t xml:space="preserve">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1,51</w:t>
      </w:r>
      <w:r>
        <w:rPr>
          <w:b w:val="false"/>
          <w:bCs w:val="false"/>
          <w:sz w:val="26"/>
          <w:szCs w:val="26"/>
        </w:rPr>
        <w:t xml:space="preserve"> м., расстояние от фронтальной границы земельного участка до основного строения- жилого дома составляет  4,02;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Привольная,66А,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19:10:050306:4964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1,57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13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Привольная,66,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19:10:050306:4963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Привольная,64А,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1,61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Привольная,64,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1,65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04.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1633</TotalTime>
  <Application>LibreOffice/7.1.1.2$Windows_x86 LibreOffice_project/fe0b08f4af1bacafe4c7ecc87ce55bb426164676</Application>
  <AppVersion>15.0000</AppVersion>
  <DocSecurity>0</DocSecurity>
  <Pages>2</Pages>
  <Words>475</Words>
  <Characters>3497</Characters>
  <CharactersWithSpaces>4131</CharactersWithSpaces>
  <Paragraphs>27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2023-05-22T09:50:37Z</cp:lastPrinted>
  <dcterms:modified xsi:type="dcterms:W3CDTF">2023-05-25T11:02:00Z</dcterms:modified>
  <cp:revision>161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