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jc w:val="right"/>
        <w:rPr>
          <w:lang w:val="en-US"/>
        </w:rPr>
        <w:framePr w:w="1075" w:h="2148" w:x="5308" w:y="-1813" w:hSpace="80" w:vSpace="40" w:wrap="auto" w:vAnchor="text" w:hAnchor="page" w:hRule="exact"/>
        <w:pBdr/>
      </w:pPr>
      <w:r>
        <w:rPr>
          <w:lang w:val="en-US"/>
        </w:rPr>
        <w:t>`</w:t>
      </w:r>
    </w:p>
    <w:p>
      <w:pPr>
        <w:pStyle w:val="Normal"/>
        <w:jc w:val="center"/>
        <w:rPr>
          <w:lang w:val="en-US"/>
        </w:rPr>
      </w:pPr>
      <w:r>
        <w:rPr>
          <w:lang w:val="en-US"/>
        </w:rPr>
      </w:r>
    </w:p>
    <w:p>
      <w:pPr>
        <w:pStyle w:val="Normal"/>
        <w:jc w:val="center"/>
        <w:rPr/>
      </w:pPr>
      <w:r>
        <w:rPr/>
      </w:r>
    </w:p>
    <w:p>
      <w:pPr>
        <w:pStyle w:val="Normal"/>
        <w:pBdr/>
        <w:jc w:val="center"/>
        <w:rPr>
          <w:sz w:val="26"/>
          <w:szCs w:val="26"/>
        </w:rPr>
        <w:framePr w:w="955" w:h="1060" w:x="5392" w:y="1" w:hSpace="80" w:vSpace="40" w:wrap="auto" w:vAnchor="text" w:hAnchor="page" w:hRule="exact"/>
        <w:pBdr/>
      </w:pPr>
      <w:r>
        <w:rPr/>
        <w:drawing>
          <wp:inline distT="0" distB="0" distL="0" distR="0">
            <wp:extent cx="605790" cy="60579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5790" cy="605790"/>
                    </a:xfrm>
                    <a:prstGeom prst="rect">
                      <a:avLst/>
                    </a:prstGeom>
                  </pic:spPr>
                </pic:pic>
              </a:graphicData>
            </a:graphic>
          </wp:inline>
        </w:drawing>
      </w:r>
    </w:p>
    <w:p>
      <w:pPr>
        <w:pStyle w:val="Normal"/>
        <w:pBdr/>
        <w:jc w:val="right"/>
        <w:rPr/>
        <w:framePr w:w="23" w:h="1060" w:x="5365" w:y="-353" w:hSpace="80" w:vSpace="40" w:wrap="auto" w:vAnchor="text" w:hAnchor="page" w:hRule="exact"/>
        <w:pBdr/>
      </w:pPr>
      <w:r>
        <w:rPr/>
      </w:r>
    </w:p>
    <w:p>
      <w:pPr>
        <w:pStyle w:val="Normal"/>
        <w:jc w:val="right"/>
        <w:rPr/>
      </w:pPr>
      <w:r>
        <w:rPr/>
      </w:r>
    </w:p>
    <w:p>
      <w:pPr>
        <w:pStyle w:val="Normal"/>
        <w:rPr>
          <w:sz w:val="26"/>
        </w:rPr>
      </w:pPr>
      <w:r>
        <w:rPr>
          <w:sz w:val="26"/>
        </w:rPr>
      </w:r>
    </w:p>
    <w:p>
      <w:pPr>
        <w:pStyle w:val="Normal"/>
        <w:rPr>
          <w:sz w:val="26"/>
        </w:rPr>
      </w:pPr>
      <w:r>
        <w:rPr>
          <w:sz w:val="26"/>
        </w:rPr>
        <w:t xml:space="preserve">                                                         </w:t>
      </w:r>
    </w:p>
    <w:p>
      <w:pPr>
        <w:pStyle w:val="Normal"/>
        <w:rPr>
          <w:sz w:val="26"/>
        </w:rPr>
      </w:pPr>
      <w:r>
        <w:rPr>
          <w:sz w:val="26"/>
        </w:rPr>
      </w:r>
    </w:p>
    <w:tbl>
      <w:tblPr>
        <w:tblW w:w="9712" w:type="dxa"/>
        <w:jc w:val="left"/>
        <w:tblInd w:w="0" w:type="dxa"/>
        <w:tblLayout w:type="fixed"/>
        <w:tblCellMar>
          <w:top w:w="0" w:type="dxa"/>
          <w:left w:w="108" w:type="dxa"/>
          <w:bottom w:w="0" w:type="dxa"/>
          <w:right w:w="108" w:type="dxa"/>
        </w:tblCellMar>
        <w:tblLook w:val="04a0"/>
      </w:tblPr>
      <w:tblGrid>
        <w:gridCol w:w="4840"/>
        <w:gridCol w:w="4871"/>
      </w:tblGrid>
      <w:tr>
        <w:trPr/>
        <w:tc>
          <w:tcPr>
            <w:tcW w:w="4840" w:type="dxa"/>
            <w:tcBorders/>
          </w:tcPr>
          <w:p>
            <w:pPr>
              <w:pStyle w:val="Normal"/>
              <w:widowControl w:val="false"/>
              <w:jc w:val="center"/>
              <w:rPr>
                <w:sz w:val="26"/>
                <w:szCs w:val="26"/>
              </w:rPr>
            </w:pPr>
            <w:r>
              <w:rPr>
                <w:sz w:val="26"/>
                <w:szCs w:val="26"/>
              </w:rPr>
              <w:t>РОССИЯ ФЕДЕРАЦИЯЗЫ</w:t>
            </w:r>
          </w:p>
          <w:p>
            <w:pPr>
              <w:pStyle w:val="Normal"/>
              <w:widowControl w:val="false"/>
              <w:jc w:val="center"/>
              <w:rPr>
                <w:sz w:val="26"/>
                <w:szCs w:val="26"/>
              </w:rPr>
            </w:pPr>
            <w:r>
              <w:rPr>
                <w:sz w:val="26"/>
                <w:szCs w:val="26"/>
              </w:rPr>
              <w:t>ХАКАС РЕСПУБЛИКА</w:t>
            </w:r>
          </w:p>
          <w:p>
            <w:pPr>
              <w:pStyle w:val="Normal"/>
              <w:widowControl w:val="false"/>
              <w:jc w:val="center"/>
              <w:rPr>
                <w:sz w:val="26"/>
                <w:szCs w:val="26"/>
              </w:rPr>
            </w:pPr>
            <w:r>
              <w:rPr>
                <w:sz w:val="26"/>
                <w:szCs w:val="26"/>
              </w:rPr>
              <w:t>А</w:t>
            </w:r>
            <w:r>
              <w:rPr>
                <w:sz w:val="26"/>
                <w:szCs w:val="26"/>
                <w:lang w:val="en-US"/>
              </w:rPr>
              <w:t>F</w:t>
            </w:r>
            <w:r>
              <w:rPr>
                <w:sz w:val="26"/>
                <w:szCs w:val="26"/>
              </w:rPr>
              <w:t>БАН ПИЛТ</w:t>
            </w:r>
            <w:r>
              <w:rPr>
                <w:sz w:val="26"/>
                <w:szCs w:val="26"/>
                <w:lang w:val="en-US"/>
              </w:rPr>
              <w:t>I</w:t>
            </w:r>
            <w:r>
              <w:rPr>
                <w:sz w:val="26"/>
                <w:szCs w:val="26"/>
              </w:rPr>
              <w:t>Р</w:t>
            </w:r>
            <w:r>
              <w:rPr>
                <w:sz w:val="26"/>
                <w:szCs w:val="26"/>
                <w:lang w:val="en-US"/>
              </w:rPr>
              <w:t>I</w:t>
            </w:r>
            <w:r>
              <w:rPr>
                <w:sz w:val="26"/>
                <w:szCs w:val="26"/>
              </w:rPr>
              <w:t xml:space="preserve">  АЙ</w:t>
            </w:r>
            <w:r>
              <w:rPr>
                <w:sz w:val="26"/>
                <w:szCs w:val="26"/>
                <w:lang w:val="en-US"/>
              </w:rPr>
              <w:t>MAA</w:t>
            </w:r>
          </w:p>
          <w:p>
            <w:pPr>
              <w:pStyle w:val="Normal"/>
              <w:widowControl w:val="false"/>
              <w:jc w:val="center"/>
              <w:rPr>
                <w:sz w:val="26"/>
                <w:szCs w:val="26"/>
              </w:rPr>
            </w:pPr>
            <w:r>
              <w:rPr>
                <w:sz w:val="26"/>
                <w:szCs w:val="26"/>
                <w:lang w:val="en-US"/>
              </w:rPr>
              <w:t>TA</w:t>
            </w:r>
            <w:r>
              <w:rPr>
                <w:sz w:val="26"/>
                <w:szCs w:val="26"/>
              </w:rPr>
              <w:t>З</w:t>
            </w:r>
            <w:r>
              <w:rPr>
                <w:sz w:val="26"/>
                <w:szCs w:val="26"/>
                <w:lang w:val="en-US"/>
              </w:rPr>
              <w:t>O</w:t>
            </w:r>
            <w:r>
              <w:rPr>
                <w:sz w:val="26"/>
                <w:szCs w:val="26"/>
              </w:rPr>
              <w:t>БА ПИЛТ</w:t>
            </w:r>
            <w:r>
              <w:rPr>
                <w:sz w:val="26"/>
                <w:szCs w:val="26"/>
                <w:lang w:val="en-US"/>
              </w:rPr>
              <w:t>I</w:t>
            </w:r>
            <w:r>
              <w:rPr>
                <w:sz w:val="26"/>
                <w:szCs w:val="26"/>
              </w:rPr>
              <w:t>Р</w:t>
            </w:r>
            <w:r>
              <w:rPr>
                <w:sz w:val="26"/>
                <w:szCs w:val="26"/>
                <w:lang w:val="en-US"/>
              </w:rPr>
              <w:t>I</w:t>
            </w:r>
            <w:r>
              <w:rPr>
                <w:sz w:val="26"/>
                <w:szCs w:val="26"/>
              </w:rPr>
              <w:t xml:space="preserve"> ААЛ  ЧÖБ</w:t>
            </w:r>
            <w:r>
              <w:rPr>
                <w:sz w:val="26"/>
                <w:szCs w:val="26"/>
                <w:lang w:val="en-US"/>
              </w:rPr>
              <w:t>IHI</w:t>
            </w:r>
            <w:r>
              <w:rPr>
                <w:sz w:val="26"/>
                <w:szCs w:val="26"/>
              </w:rPr>
              <w:t>Ң</w:t>
            </w:r>
          </w:p>
          <w:p>
            <w:pPr>
              <w:pStyle w:val="Normal"/>
              <w:widowControl w:val="false"/>
              <w:jc w:val="center"/>
              <w:rPr>
                <w:sz w:val="26"/>
                <w:szCs w:val="26"/>
              </w:rPr>
            </w:pPr>
            <w:r>
              <w:rPr>
                <w:sz w:val="26"/>
                <w:szCs w:val="26"/>
                <w:lang w:val="en-US"/>
              </w:rPr>
              <w:t>YCTAF</w:t>
            </w:r>
            <w:r>
              <w:rPr>
                <w:sz w:val="26"/>
                <w:szCs w:val="26"/>
              </w:rPr>
              <w:t xml:space="preserve"> П</w:t>
            </w:r>
            <w:r>
              <w:rPr>
                <w:sz w:val="26"/>
                <w:szCs w:val="26"/>
                <w:lang w:val="en-US"/>
              </w:rPr>
              <w:t>ACTAA</w:t>
            </w:r>
          </w:p>
          <w:p>
            <w:pPr>
              <w:pStyle w:val="Normal"/>
              <w:widowControl w:val="false"/>
              <w:jc w:val="center"/>
              <w:rPr>
                <w:sz w:val="26"/>
                <w:szCs w:val="26"/>
              </w:rPr>
            </w:pPr>
            <w:r>
              <w:rPr>
                <w:sz w:val="26"/>
                <w:szCs w:val="26"/>
              </w:rPr>
            </w:r>
          </w:p>
        </w:tc>
        <w:tc>
          <w:tcPr>
            <w:tcW w:w="4871" w:type="dxa"/>
            <w:tcBorders/>
          </w:tcPr>
          <w:p>
            <w:pPr>
              <w:pStyle w:val="Normal"/>
              <w:widowControl w:val="false"/>
              <w:jc w:val="center"/>
              <w:rPr>
                <w:sz w:val="26"/>
                <w:szCs w:val="26"/>
              </w:rPr>
            </w:pPr>
            <w:r>
              <w:rPr>
                <w:sz w:val="26"/>
                <w:szCs w:val="26"/>
              </w:rPr>
              <w:t>РОССИЙСКАЯ ФЕДЕРАЦИЯ</w:t>
            </w:r>
          </w:p>
          <w:p>
            <w:pPr>
              <w:pStyle w:val="Normal"/>
              <w:widowControl w:val="false"/>
              <w:spacing w:lineRule="auto" w:line="276"/>
              <w:jc w:val="center"/>
              <w:rPr>
                <w:sz w:val="26"/>
                <w:szCs w:val="26"/>
              </w:rPr>
            </w:pPr>
            <w:r>
              <w:rPr>
                <w:sz w:val="26"/>
                <w:szCs w:val="26"/>
              </w:rPr>
              <w:t>РЕСПУБЛИКА ХАКАСИЯ</w:t>
            </w:r>
          </w:p>
          <w:p>
            <w:pPr>
              <w:pStyle w:val="Normal"/>
              <w:widowControl w:val="false"/>
              <w:spacing w:lineRule="auto" w:line="276"/>
              <w:ind w:left="-36" w:hanging="0"/>
              <w:jc w:val="center"/>
              <w:rPr>
                <w:sz w:val="26"/>
                <w:szCs w:val="26"/>
              </w:rPr>
            </w:pPr>
            <w:r>
              <w:rPr>
                <w:sz w:val="26"/>
                <w:szCs w:val="26"/>
              </w:rPr>
              <w:t>УСТЬ-АБАКАНСКИЙ РАЙОН</w:t>
              <w:tab/>
              <w:t xml:space="preserve">       </w:t>
            </w:r>
          </w:p>
          <w:p>
            <w:pPr>
              <w:pStyle w:val="Normal"/>
              <w:widowControl w:val="false"/>
              <w:spacing w:lineRule="auto" w:line="276"/>
              <w:ind w:left="-36" w:hanging="0"/>
              <w:jc w:val="center"/>
              <w:rPr>
                <w:sz w:val="26"/>
                <w:szCs w:val="26"/>
              </w:rPr>
            </w:pPr>
            <w:r>
              <w:rPr>
                <w:sz w:val="26"/>
                <w:szCs w:val="26"/>
              </w:rPr>
              <w:t>АДМИНИСТРАЦИЯ</w:t>
            </w:r>
          </w:p>
          <w:p>
            <w:pPr>
              <w:pStyle w:val="Normal"/>
              <w:widowControl w:val="false"/>
              <w:spacing w:lineRule="auto" w:line="276"/>
              <w:ind w:left="360" w:hanging="0"/>
              <w:jc w:val="center"/>
              <w:rPr>
                <w:sz w:val="26"/>
                <w:szCs w:val="26"/>
              </w:rPr>
            </w:pPr>
            <w:r>
              <w:rPr>
                <w:sz w:val="26"/>
                <w:szCs w:val="26"/>
              </w:rPr>
              <w:t>КАЛИНИНСКОГО СЕЛЬСОВЕТА</w:t>
            </w:r>
          </w:p>
        </w:tc>
      </w:tr>
    </w:tbl>
    <w:p>
      <w:pPr>
        <w:pStyle w:val="1"/>
        <w:rPr>
          <w:sz w:val="26"/>
          <w:szCs w:val="26"/>
        </w:rPr>
      </w:pPr>
      <w:r>
        <w:rPr>
          <w:sz w:val="26"/>
          <w:szCs w:val="26"/>
        </w:rPr>
        <w:t>П О С Т А Н О В Л Е Н И Е</w:t>
      </w:r>
    </w:p>
    <w:p>
      <w:pPr>
        <w:pStyle w:val="Normal"/>
        <w:rPr/>
      </w:pPr>
      <w:r>
        <w:rPr/>
      </w:r>
    </w:p>
    <w:p>
      <w:pPr>
        <w:pStyle w:val="Normal"/>
        <w:jc w:val="center"/>
        <w:rPr>
          <w:sz w:val="26"/>
          <w:szCs w:val="26"/>
        </w:rPr>
      </w:pPr>
      <w:r>
        <w:rPr>
          <w:sz w:val="26"/>
          <w:szCs w:val="26"/>
        </w:rPr>
        <w:t>от 09.02.2024г.</w:t>
        <w:tab/>
        <w:t xml:space="preserve"> № 53-п</w:t>
      </w:r>
    </w:p>
    <w:p>
      <w:pPr>
        <w:pStyle w:val="Normal"/>
        <w:jc w:val="center"/>
        <w:rPr>
          <w:sz w:val="26"/>
          <w:szCs w:val="26"/>
        </w:rPr>
      </w:pPr>
      <w:r>
        <w:rPr>
          <w:sz w:val="26"/>
          <w:szCs w:val="26"/>
        </w:rPr>
        <w:t>с.Калинино</w:t>
      </w:r>
    </w:p>
    <w:p>
      <w:pPr>
        <w:pStyle w:val="Normal"/>
        <w:jc w:val="center"/>
        <w:rPr>
          <w:sz w:val="26"/>
          <w:szCs w:val="26"/>
        </w:rPr>
      </w:pPr>
      <w:r>
        <w:rPr>
          <w:sz w:val="26"/>
          <w:szCs w:val="26"/>
        </w:rPr>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Об утверждении отчета</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о реализации и оценке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эффективности муниципальных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 xml:space="preserve">программ, действующих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на территории  Калининского</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сельсовета  за 2023 год</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t xml:space="preserve">           </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r>
    </w:p>
    <w:p>
      <w:pPr>
        <w:pStyle w:val="ConsPlusNormal"/>
        <w:numPr>
          <w:ilvl w:val="0"/>
          <w:numId w:val="0"/>
        </w:numPr>
        <w:ind w:firstLine="539"/>
        <w:jc w:val="both"/>
        <w:outlineLvl w:val="0"/>
        <w:rPr>
          <w:rFonts w:ascii="Times New Roman" w:hAnsi="Times New Roman" w:cs="Times New Roman"/>
          <w:sz w:val="26"/>
          <w:szCs w:val="26"/>
        </w:rPr>
      </w:pPr>
      <w:r>
        <w:rPr>
          <w:rFonts w:cs="Times New Roman" w:ascii="Times New Roman" w:hAnsi="Times New Roman"/>
          <w:sz w:val="26"/>
          <w:szCs w:val="26"/>
        </w:rPr>
        <w:t>В соответствии со статьей 179 Бюджетного кодекса Российской Федерации, Администрация Калининского сельсовета</w:t>
      </w:r>
    </w:p>
    <w:p>
      <w:pPr>
        <w:pStyle w:val="Normal"/>
        <w:widowControl w:val="false"/>
        <w:ind w:firstLine="539"/>
        <w:jc w:val="both"/>
        <w:rPr>
          <w:rFonts w:ascii="Times New Roman Hak" w:hAnsi="Times New Roman Hak"/>
          <w:sz w:val="26"/>
          <w:szCs w:val="26"/>
        </w:rPr>
      </w:pPr>
      <w:r>
        <w:rPr>
          <w:rFonts w:ascii="Times New Roman Hak" w:hAnsi="Times New Roman Hak"/>
          <w:sz w:val="26"/>
          <w:szCs w:val="26"/>
        </w:rPr>
        <w:t xml:space="preserve"> </w:t>
      </w:r>
    </w:p>
    <w:p>
      <w:pPr>
        <w:pStyle w:val="ConsPlusNormal"/>
        <w:numPr>
          <w:ilvl w:val="0"/>
          <w:numId w:val="0"/>
        </w:numPr>
        <w:outlineLvl w:val="0"/>
        <w:rPr>
          <w:rFonts w:ascii="Times New Roman" w:hAnsi="Times New Roman" w:cs="Times New Roman"/>
          <w:b/>
          <w:b/>
          <w:sz w:val="26"/>
          <w:szCs w:val="26"/>
        </w:rPr>
      </w:pPr>
      <w:r>
        <w:rPr>
          <w:rFonts w:cs="Times New Roman" w:ascii="Times New Roman" w:hAnsi="Times New Roman"/>
          <w:b/>
          <w:sz w:val="26"/>
          <w:szCs w:val="26"/>
        </w:rPr>
        <w:t>ПОСТАНОВЛЯЕТ:</w:t>
      </w:r>
    </w:p>
    <w:p>
      <w:pPr>
        <w:pStyle w:val="Normal"/>
        <w:rPr>
          <w:sz w:val="26"/>
          <w:szCs w:val="26"/>
        </w:rPr>
      </w:pPr>
      <w:r>
        <w:rPr>
          <w:rFonts w:ascii="Times New Roman Hak" w:hAnsi="Times New Roman Hak"/>
          <w:sz w:val="26"/>
          <w:szCs w:val="26"/>
        </w:rPr>
        <w:t xml:space="preserve">        </w:t>
      </w:r>
    </w:p>
    <w:p>
      <w:pPr>
        <w:pStyle w:val="ConsPlusNormal"/>
        <w:numPr>
          <w:ilvl w:val="0"/>
          <w:numId w:val="0"/>
        </w:numPr>
        <w:ind w:firstLine="540"/>
        <w:jc w:val="both"/>
        <w:outlineLvl w:val="0"/>
        <w:rPr>
          <w:rFonts w:ascii="Times New Roman" w:hAnsi="Times New Roman" w:cs="Times New Roman"/>
          <w:sz w:val="26"/>
          <w:szCs w:val="26"/>
        </w:rPr>
      </w:pPr>
      <w:r>
        <w:rPr>
          <w:rFonts w:cs="Times New Roman" w:ascii="Times New Roman" w:hAnsi="Times New Roman"/>
          <w:sz w:val="26"/>
          <w:szCs w:val="26"/>
        </w:rPr>
        <w:t>1.Утвердить отчет о реализации и оценке  эффективности муниципальных программ, действующих на территории  Калининского сельсовета за 2023 год (приложение 1).</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2.Настоящее постановление обнародовать на официальном сайте Администрации Калининского сельсовета в сети Интернет.</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 xml:space="preserve">3. Настоящее постановление вступает в силу с момента подписания.  </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numPr>
          <w:ilvl w:val="0"/>
          <w:numId w:val="0"/>
        </w:numPr>
        <w:outlineLvl w:val="0"/>
        <w:rPr>
          <w:rFonts w:ascii="Times New Roman" w:hAnsi="Times New Roman" w:cs="Times New Roman"/>
          <w:sz w:val="26"/>
          <w:szCs w:val="26"/>
        </w:rPr>
      </w:pPr>
      <w:r>
        <w:rPr>
          <w:rFonts w:cs="Times New Roman" w:ascii="Times New Roman" w:hAnsi="Times New Roman"/>
          <w:sz w:val="26"/>
          <w:szCs w:val="26"/>
        </w:rPr>
        <w:t>Глава Калининского сельсовета</w:t>
        <w:tab/>
        <w:tab/>
        <w:tab/>
        <w:t xml:space="preserve">                                 И.А.Сажин</w:t>
      </w:r>
    </w:p>
    <w:p>
      <w:pPr>
        <w:pStyle w:val="ConsPlusNormal"/>
        <w:numPr>
          <w:ilvl w:val="0"/>
          <w:numId w:val="0"/>
        </w:numPr>
        <w:jc w:val="right"/>
        <w:outlineLvl w:val="0"/>
        <w:rPr>
          <w:rFonts w:ascii="Times New Roman" w:hAnsi="Times New Roman" w:cs="Times New Roman"/>
          <w:sz w:val="26"/>
          <w:szCs w:val="26"/>
        </w:rPr>
      </w:pPr>
      <w:r>
        <w:rPr>
          <w:rFonts w:cs="Times New Roman" w:ascii="Times New Roman" w:hAnsi="Times New Roman"/>
          <w:sz w:val="26"/>
          <w:szCs w:val="26"/>
        </w:rPr>
        <w:tab/>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sz w:val="26"/>
          <w:szCs w:val="26"/>
        </w:rPr>
      </w:pPr>
      <w:r>
        <w:rPr>
          <w:sz w:val="26"/>
          <w:szCs w:val="26"/>
        </w:rPr>
      </w:r>
    </w:p>
    <w:p>
      <w:pPr>
        <w:pStyle w:val="ConsPlusNormal"/>
        <w:numPr>
          <w:ilvl w:val="0"/>
          <w:numId w:val="0"/>
        </w:numPr>
        <w:jc w:val="right"/>
        <w:outlineLvl w:val="0"/>
        <w:rPr>
          <w:rFonts w:ascii="Times New Roman Hak" w:hAnsi="Times New Roman Hak"/>
          <w:sz w:val="26"/>
          <w:szCs w:val="26"/>
        </w:rPr>
      </w:pPr>
      <w:r>
        <w:rPr>
          <w:rFonts w:ascii="Times New Roman Hak" w:hAnsi="Times New Roman Hak"/>
          <w:sz w:val="26"/>
          <w:szCs w:val="26"/>
        </w:rPr>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jc w:val="right"/>
        <w:outlineLvl w:val="2"/>
        <w:rPr>
          <w:rFonts w:ascii="Times New Roman" w:hAnsi="Times New Roman" w:cs="Times New Roman"/>
          <w:sz w:val="26"/>
          <w:szCs w:val="26"/>
        </w:rPr>
      </w:pPr>
      <w:r>
        <w:rPr>
          <w:rFonts w:cs="Times New Roman" w:ascii="Times New Roman" w:hAnsi="Times New Roman"/>
          <w:sz w:val="26"/>
          <w:szCs w:val="26"/>
        </w:rPr>
      </w:r>
    </w:p>
    <w:p>
      <w:pPr>
        <w:pStyle w:val="Normal"/>
        <w:rPr>
          <w:lang w:eastAsia="en-US"/>
        </w:rPr>
      </w:pPr>
      <w:r>
        <w:rPr>
          <w:lang w:eastAsia="en-US"/>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6"/>
          <w:szCs w:val="26"/>
        </w:rPr>
      </w:pPr>
      <w:r>
        <w:rPr>
          <w:sz w:val="26"/>
          <w:szCs w:val="26"/>
        </w:rPr>
        <w:t>Приложение 1</w:t>
      </w:r>
    </w:p>
    <w:p>
      <w:pPr>
        <w:pStyle w:val="Normal"/>
        <w:jc w:val="right"/>
        <w:rPr>
          <w:sz w:val="26"/>
          <w:szCs w:val="26"/>
        </w:rPr>
      </w:pPr>
      <w:r>
        <w:rPr>
          <w:sz w:val="26"/>
          <w:szCs w:val="26"/>
        </w:rPr>
        <w:t>к постановлению Администрации</w:t>
      </w:r>
    </w:p>
    <w:p>
      <w:pPr>
        <w:pStyle w:val="Normal"/>
        <w:jc w:val="right"/>
        <w:rPr>
          <w:sz w:val="26"/>
          <w:szCs w:val="26"/>
        </w:rPr>
      </w:pPr>
      <w:r>
        <w:rPr>
          <w:sz w:val="26"/>
          <w:szCs w:val="26"/>
        </w:rPr>
        <w:t>Калининского сельсовета</w:t>
      </w:r>
    </w:p>
    <w:p>
      <w:pPr>
        <w:pStyle w:val="Normal"/>
        <w:jc w:val="right"/>
        <w:rPr>
          <w:sz w:val="26"/>
          <w:szCs w:val="26"/>
        </w:rPr>
      </w:pPr>
      <w:r>
        <w:rPr>
          <w:sz w:val="26"/>
          <w:szCs w:val="26"/>
        </w:rPr>
        <w:t>от  09.02.2024г. № 53-п</w:t>
      </w:r>
    </w:p>
    <w:p>
      <w:pPr>
        <w:pStyle w:val="Normal"/>
        <w:jc w:val="center"/>
        <w:rPr>
          <w:b/>
          <w:b/>
          <w:sz w:val="26"/>
          <w:szCs w:val="26"/>
        </w:rPr>
      </w:pPr>
      <w:r>
        <w:rPr>
          <w:b/>
          <w:sz w:val="26"/>
          <w:szCs w:val="26"/>
        </w:rPr>
      </w:r>
    </w:p>
    <w:p>
      <w:pPr>
        <w:pStyle w:val="Normal"/>
        <w:jc w:val="center"/>
        <w:rPr>
          <w:b/>
          <w:b/>
          <w:i/>
          <w:i/>
          <w:sz w:val="26"/>
          <w:szCs w:val="26"/>
        </w:rPr>
      </w:pPr>
      <w:r>
        <w:rPr>
          <w:b/>
          <w:i/>
          <w:sz w:val="26"/>
          <w:szCs w:val="26"/>
        </w:rPr>
        <w:t xml:space="preserve">Отчет </w:t>
      </w:r>
    </w:p>
    <w:p>
      <w:pPr>
        <w:pStyle w:val="Normal"/>
        <w:jc w:val="center"/>
        <w:rPr>
          <w:b/>
          <w:b/>
          <w:i/>
          <w:i/>
          <w:sz w:val="26"/>
          <w:szCs w:val="26"/>
        </w:rPr>
      </w:pPr>
      <w:r>
        <w:rPr>
          <w:b/>
          <w:i/>
          <w:sz w:val="26"/>
          <w:szCs w:val="26"/>
        </w:rPr>
        <w:t xml:space="preserve"> </w:t>
      </w:r>
      <w:r>
        <w:rPr>
          <w:b/>
          <w:i/>
          <w:sz w:val="26"/>
          <w:szCs w:val="26"/>
        </w:rPr>
        <w:t xml:space="preserve">о реализации и оценке эффективности муниципальных программ, действующих на территории Калининского сельсовета за 2023 год </w:t>
      </w:r>
    </w:p>
    <w:p>
      <w:pPr>
        <w:pStyle w:val="Normal"/>
        <w:jc w:val="center"/>
        <w:rPr>
          <w:b/>
          <w:b/>
          <w:sz w:val="26"/>
          <w:szCs w:val="26"/>
        </w:rPr>
      </w:pPr>
      <w:r>
        <w:rPr>
          <w:b/>
          <w:sz w:val="26"/>
          <w:szCs w:val="26"/>
        </w:rPr>
      </w:r>
    </w:p>
    <w:p>
      <w:pPr>
        <w:pStyle w:val="ConsPlusNormal"/>
        <w:numPr>
          <w:ilvl w:val="0"/>
          <w:numId w:val="0"/>
        </w:numPr>
        <w:jc w:val="both"/>
        <w:outlineLvl w:val="0"/>
        <w:rPr>
          <w:rFonts w:ascii="Times New Roman Hak" w:hAnsi="Times New Roman Hak"/>
          <w:sz w:val="26"/>
          <w:szCs w:val="26"/>
        </w:rPr>
      </w:pPr>
      <w:r>
        <w:rPr>
          <w:rFonts w:cs="Times New Roman" w:ascii="Times New Roman" w:hAnsi="Times New Roman"/>
          <w:b/>
          <w:sz w:val="26"/>
          <w:szCs w:val="26"/>
        </w:rPr>
        <w:t xml:space="preserve">         </w:t>
      </w:r>
      <w:r>
        <w:rPr>
          <w:rFonts w:cs="Times New Roman" w:ascii="Times New Roman" w:hAnsi="Times New Roman"/>
          <w:sz w:val="26"/>
          <w:szCs w:val="26"/>
        </w:rPr>
        <w:t xml:space="preserve">Отчет за 2023 год  о реализации и оценке эффективности муниципальных программ, принятых муниципальными правовыми актами Администрации Калининского сельсовета Усть-Абаканского района Республики Хакасия, проведен бухгалтерией Администрации Калининского сельсовета в соответствии  с Порядком, утвержденным  </w:t>
      </w:r>
      <w:r>
        <w:rPr>
          <w:rFonts w:eastAsia="Times New Roman" w:cs="Times New Roman" w:ascii="Times New Roman" w:hAnsi="Times New Roman"/>
          <w:sz w:val="26"/>
          <w:szCs w:val="26"/>
        </w:rPr>
        <w:t>постановлением Администрации от 03.10.2013г. № 217-п  «</w:t>
      </w:r>
      <w:r>
        <w:rPr>
          <w:rFonts w:cs="Times New Roman" w:ascii="Times New Roman" w:hAnsi="Times New Roman"/>
          <w:sz w:val="26"/>
          <w:szCs w:val="26"/>
        </w:rPr>
        <w:t>Об утверждении порядка разработки</w:t>
      </w:r>
      <w:r>
        <w:rPr>
          <w:rFonts w:ascii="Times New Roman Hak" w:hAnsi="Times New Roman Hak"/>
          <w:sz w:val="26"/>
          <w:szCs w:val="26"/>
        </w:rPr>
        <w:t xml:space="preserve">, </w:t>
      </w:r>
      <w:r>
        <w:rPr>
          <w:rFonts w:cs="Times New Roman" w:ascii="Times New Roman" w:hAnsi="Times New Roman"/>
          <w:sz w:val="26"/>
          <w:szCs w:val="26"/>
        </w:rPr>
        <w:t>утверждения, реализации и оценки эффективности муниципальных программ Калининского сельсовета Усть-Абаканского района Республики Хакасия»</w:t>
      </w:r>
      <w:r>
        <w:rPr>
          <w:rFonts w:eastAsia="Times New Roman" w:cs="Times New Roman" w:ascii="Times New Roman" w:hAnsi="Times New Roman"/>
          <w:sz w:val="26"/>
          <w:szCs w:val="26"/>
        </w:rPr>
        <w:t xml:space="preserve"> (далее - Порядок) (с последующими изменениями).</w:t>
      </w:r>
      <w:r>
        <w:rPr>
          <w:rFonts w:ascii="Times New Roman Hak" w:hAnsi="Times New Roman Hak"/>
          <w:sz w:val="26"/>
          <w:szCs w:val="26"/>
        </w:rPr>
        <w:t xml:space="preserve"> </w:t>
      </w:r>
    </w:p>
    <w:p>
      <w:pPr>
        <w:pStyle w:val="Normal"/>
        <w:jc w:val="both"/>
        <w:rPr>
          <w:sz w:val="26"/>
          <w:szCs w:val="26"/>
        </w:rPr>
      </w:pPr>
      <w:r>
        <w:rPr>
          <w:sz w:val="26"/>
          <w:szCs w:val="26"/>
        </w:rPr>
        <w:t xml:space="preserve">       </w:t>
      </w:r>
      <w:r>
        <w:rPr>
          <w:sz w:val="26"/>
          <w:szCs w:val="26"/>
        </w:rPr>
        <w:t xml:space="preserve">В Реестр муниципальных  программ, предусмотренных к финансированию в 2023 году  включено 10 муниципальных программ (с 4 подпрограммами). На финансирование  мероприятий данных программ за счет всех источников финансирования было запланировано средств в объеме  </w:t>
      </w:r>
      <w:r>
        <w:rPr>
          <w:b/>
          <w:sz w:val="26"/>
          <w:szCs w:val="26"/>
        </w:rPr>
        <w:t>124 158,8 тыс. руб.</w:t>
      </w:r>
      <w:r>
        <w:rPr>
          <w:sz w:val="26"/>
          <w:szCs w:val="26"/>
        </w:rPr>
        <w:t>, из них:</w:t>
      </w:r>
    </w:p>
    <w:p>
      <w:pPr>
        <w:pStyle w:val="Normal"/>
        <w:jc w:val="both"/>
        <w:rPr>
          <w:sz w:val="26"/>
          <w:szCs w:val="26"/>
        </w:rPr>
      </w:pPr>
      <w:r>
        <w:rPr>
          <w:sz w:val="26"/>
          <w:szCs w:val="26"/>
        </w:rPr>
        <w:t xml:space="preserve">        </w:t>
      </w:r>
      <w:r>
        <w:rPr>
          <w:sz w:val="26"/>
          <w:szCs w:val="26"/>
        </w:rPr>
        <w:t>- средства федерального бюджета –39 900,0 тыс.руб.,</w:t>
      </w:r>
    </w:p>
    <w:p>
      <w:pPr>
        <w:pStyle w:val="Normal"/>
        <w:jc w:val="both"/>
        <w:rPr>
          <w:sz w:val="26"/>
          <w:szCs w:val="26"/>
        </w:rPr>
      </w:pPr>
      <w:r>
        <w:rPr>
          <w:sz w:val="26"/>
          <w:szCs w:val="26"/>
        </w:rPr>
        <w:t xml:space="preserve">        </w:t>
      </w:r>
      <w:r>
        <w:rPr>
          <w:sz w:val="26"/>
          <w:szCs w:val="26"/>
        </w:rPr>
        <w:t>- средства республиканского бюджета –18 665,3 тыс.руб.,</w:t>
      </w:r>
    </w:p>
    <w:p>
      <w:pPr>
        <w:pStyle w:val="Normal"/>
        <w:jc w:val="both"/>
        <w:rPr>
          <w:sz w:val="26"/>
          <w:szCs w:val="26"/>
        </w:rPr>
      </w:pPr>
      <w:r>
        <w:rPr>
          <w:sz w:val="26"/>
          <w:szCs w:val="26"/>
        </w:rPr>
        <w:t xml:space="preserve">        </w:t>
      </w:r>
      <w:r>
        <w:rPr>
          <w:sz w:val="26"/>
          <w:szCs w:val="26"/>
        </w:rPr>
        <w:t>- средства районного бюджета –9 552,3 тыс.руб.;</w:t>
      </w:r>
    </w:p>
    <w:p>
      <w:pPr>
        <w:pStyle w:val="Normal"/>
        <w:jc w:val="both"/>
        <w:rPr>
          <w:sz w:val="26"/>
          <w:szCs w:val="26"/>
        </w:rPr>
      </w:pPr>
      <w:r>
        <w:rPr>
          <w:sz w:val="26"/>
          <w:szCs w:val="26"/>
        </w:rPr>
        <w:t xml:space="preserve">        </w:t>
      </w:r>
      <w:r>
        <w:rPr>
          <w:sz w:val="26"/>
          <w:szCs w:val="26"/>
        </w:rPr>
        <w:t>- средства поселения  -  56 041,2 тыс. руб.</w:t>
      </w:r>
    </w:p>
    <w:p>
      <w:pPr>
        <w:pStyle w:val="Style28"/>
        <w:spacing w:before="0" w:after="0"/>
        <w:ind w:left="0" w:hanging="0"/>
        <w:jc w:val="both"/>
        <w:rPr>
          <w:sz w:val="26"/>
          <w:szCs w:val="26"/>
        </w:rPr>
      </w:pPr>
      <w:r>
        <w:rPr>
          <w:sz w:val="26"/>
          <w:szCs w:val="26"/>
        </w:rPr>
        <w:t xml:space="preserve">      </w:t>
      </w:r>
      <w:r>
        <w:rPr>
          <w:sz w:val="26"/>
          <w:szCs w:val="26"/>
        </w:rPr>
        <w:t xml:space="preserve">За 2023 год кассовое исполнение мероприятий по программам за счет всех источников финансирования составило </w:t>
      </w:r>
      <w:r>
        <w:rPr>
          <w:b/>
          <w:sz w:val="26"/>
          <w:szCs w:val="26"/>
        </w:rPr>
        <w:t>95 141,6 тыс.руб</w:t>
      </w:r>
      <w:r>
        <w:rPr>
          <w:sz w:val="26"/>
          <w:szCs w:val="26"/>
        </w:rPr>
        <w:t>. или 77% от предусмотренного финансирования на 2023 год, в том числе за счет:</w:t>
      </w:r>
    </w:p>
    <w:p>
      <w:pPr>
        <w:pStyle w:val="Normal"/>
        <w:jc w:val="both"/>
        <w:rPr>
          <w:sz w:val="26"/>
          <w:szCs w:val="26"/>
        </w:rPr>
      </w:pPr>
      <w:r>
        <w:rPr>
          <w:sz w:val="26"/>
          <w:szCs w:val="26"/>
        </w:rPr>
        <w:t xml:space="preserve">        </w:t>
      </w:r>
      <w:r>
        <w:rPr>
          <w:sz w:val="26"/>
          <w:szCs w:val="26"/>
        </w:rPr>
        <w:t>- средства федерального бюджета –34 388,3 тыс.руб.,</w:t>
      </w:r>
    </w:p>
    <w:p>
      <w:pPr>
        <w:pStyle w:val="Normal"/>
        <w:jc w:val="both"/>
        <w:rPr>
          <w:sz w:val="26"/>
          <w:szCs w:val="26"/>
        </w:rPr>
      </w:pPr>
      <w:r>
        <w:rPr>
          <w:sz w:val="26"/>
          <w:szCs w:val="26"/>
        </w:rPr>
        <w:t xml:space="preserve">        </w:t>
      </w:r>
      <w:r>
        <w:rPr>
          <w:sz w:val="26"/>
          <w:szCs w:val="26"/>
        </w:rPr>
        <w:t>- средства республиканского бюджета –18 665,3 тыс.руб.,</w:t>
      </w:r>
    </w:p>
    <w:p>
      <w:pPr>
        <w:pStyle w:val="Normal"/>
        <w:jc w:val="both"/>
        <w:rPr>
          <w:sz w:val="26"/>
          <w:szCs w:val="26"/>
        </w:rPr>
      </w:pPr>
      <w:r>
        <w:rPr>
          <w:sz w:val="26"/>
          <w:szCs w:val="26"/>
        </w:rPr>
        <w:t xml:space="preserve">        </w:t>
      </w:r>
      <w:r>
        <w:rPr>
          <w:sz w:val="26"/>
          <w:szCs w:val="26"/>
        </w:rPr>
        <w:t>- средства районного бюджета –9 254,0 тыс.руб.;</w:t>
      </w:r>
    </w:p>
    <w:p>
      <w:pPr>
        <w:pStyle w:val="Normal"/>
        <w:jc w:val="both"/>
        <w:rPr>
          <w:sz w:val="26"/>
          <w:szCs w:val="26"/>
        </w:rPr>
      </w:pPr>
      <w:r>
        <w:rPr>
          <w:sz w:val="26"/>
          <w:szCs w:val="26"/>
        </w:rPr>
        <w:t xml:space="preserve">        </w:t>
      </w:r>
      <w:r>
        <w:rPr>
          <w:sz w:val="26"/>
          <w:szCs w:val="26"/>
        </w:rPr>
        <w:t>- средства поселения  -  32 834,0 тыс. руб.</w:t>
      </w:r>
    </w:p>
    <w:p>
      <w:pPr>
        <w:pStyle w:val="Normal"/>
        <w:jc w:val="both"/>
        <w:rPr>
          <w:sz w:val="26"/>
          <w:szCs w:val="26"/>
        </w:rPr>
      </w:pPr>
      <w:r>
        <w:rPr>
          <w:sz w:val="26"/>
          <w:szCs w:val="26"/>
        </w:rPr>
        <w:t xml:space="preserve">    </w:t>
      </w:r>
      <w:r>
        <w:rPr>
          <w:sz w:val="26"/>
          <w:szCs w:val="26"/>
        </w:rPr>
        <w:t>Порядок проведения оценки эффективности муниципальных  программ Калининского сельсовета, определяет правила оценки эффективности реализации муниципальных программ, позволяющие установить степень достижения целей и задач муниципальной программы в зависимости от конечных результатов.</w:t>
      </w:r>
    </w:p>
    <w:p>
      <w:pPr>
        <w:pStyle w:val="Normal"/>
        <w:jc w:val="both"/>
        <w:rPr>
          <w:sz w:val="26"/>
          <w:szCs w:val="26"/>
        </w:rPr>
      </w:pPr>
      <w:r>
        <w:rPr>
          <w:sz w:val="26"/>
          <w:szCs w:val="26"/>
        </w:rPr>
        <w:t xml:space="preserve">      </w:t>
      </w:r>
      <w:r>
        <w:rPr>
          <w:sz w:val="26"/>
          <w:szCs w:val="26"/>
        </w:rPr>
        <w:t>Анализ эффективности результатов реализации Программ за 2023 год осуществляется на основании предоставленных данных разработчиками муниципальных программ за отчетный финансовый год. Оценка достижения плановых значений целевых показателей осуществлена бальным методом на основе полученных оценок по целевым показателям, указанным в паспорте муниципальных программ.</w:t>
      </w:r>
    </w:p>
    <w:p>
      <w:pPr>
        <w:pStyle w:val="Normal"/>
        <w:jc w:val="both"/>
        <w:rPr>
          <w:sz w:val="26"/>
          <w:szCs w:val="26"/>
        </w:rPr>
      </w:pPr>
      <w:r>
        <w:rPr>
          <w:sz w:val="26"/>
          <w:szCs w:val="26"/>
        </w:rPr>
        <w:t xml:space="preserve">      </w:t>
      </w:r>
      <w:r>
        <w:rPr>
          <w:sz w:val="26"/>
          <w:szCs w:val="26"/>
        </w:rPr>
        <w:t xml:space="preserve">Проведенный на основании индикативных показателей сравнительный анализ отражает влияние Программ на уровень социально – экономического развития муниципального образования Калининский сельсовет Усть-Абаканского  района Республики Хакасия, позволяет своевременно корректировать механизм реализации Программ, уточнять основные целевые показатели. </w:t>
      </w:r>
    </w:p>
    <w:p>
      <w:pPr>
        <w:pStyle w:val="Normal"/>
        <w:ind w:firstLine="741"/>
        <w:jc w:val="both"/>
        <w:rPr>
          <w:sz w:val="26"/>
          <w:szCs w:val="26"/>
        </w:rPr>
      </w:pPr>
      <w:r>
        <w:rPr>
          <w:sz w:val="26"/>
          <w:szCs w:val="26"/>
        </w:rPr>
        <w:t xml:space="preserve">В приложении 1 к отчету представлен отчет за 2023 год об оценке эффективности реализации муниципальных программ, действующих на территории Калининского сельсовета. </w:t>
      </w:r>
    </w:p>
    <w:p>
      <w:pPr>
        <w:pStyle w:val="Normal"/>
        <w:rPr>
          <w:sz w:val="26"/>
          <w:szCs w:val="26"/>
        </w:rPr>
      </w:pPr>
      <w:r>
        <w:rPr>
          <w:sz w:val="26"/>
          <w:szCs w:val="26"/>
        </w:rPr>
      </w:r>
    </w:p>
    <w:p>
      <w:pPr>
        <w:pStyle w:val="Default"/>
        <w:tabs>
          <w:tab w:val="clear" w:pos="708"/>
          <w:tab w:val="left" w:pos="142" w:leader="none"/>
        </w:tabs>
        <w:jc w:val="center"/>
        <w:rPr>
          <w:b/>
          <w:b/>
          <w:color w:val="auto"/>
          <w:sz w:val="26"/>
          <w:szCs w:val="26"/>
        </w:rPr>
      </w:pPr>
      <w:r>
        <w:rPr>
          <w:b/>
          <w:color w:val="auto"/>
          <w:sz w:val="26"/>
          <w:szCs w:val="26"/>
        </w:rPr>
        <w:t>Выводы и предложения</w:t>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both"/>
        <w:rPr>
          <w:color w:val="auto"/>
          <w:sz w:val="26"/>
          <w:szCs w:val="26"/>
        </w:rPr>
      </w:pPr>
      <w:r>
        <w:rPr>
          <w:rFonts w:eastAsia="Calibri"/>
          <w:color w:val="auto"/>
          <w:sz w:val="26"/>
          <w:szCs w:val="26"/>
        </w:rPr>
        <w:t xml:space="preserve">     </w:t>
      </w:r>
      <w:r>
        <w:rPr>
          <w:rFonts w:eastAsia="Calibri"/>
          <w:color w:val="auto"/>
          <w:sz w:val="26"/>
          <w:szCs w:val="26"/>
        </w:rPr>
        <w:t>1</w:t>
      </w:r>
      <w:r>
        <w:rPr>
          <w:color w:val="auto"/>
          <w:sz w:val="26"/>
          <w:szCs w:val="26"/>
        </w:rPr>
        <w:t xml:space="preserve">. Реализация муниципальных программ в 2023г. происходила в полном объеме расходов бюджетных средств муниципального образования, что  позволило выполнить запланированные  на отчетный период  программные мероприятия. </w:t>
      </w:r>
    </w:p>
    <w:p>
      <w:pPr>
        <w:pStyle w:val="Default"/>
        <w:tabs>
          <w:tab w:val="clear" w:pos="708"/>
          <w:tab w:val="left" w:pos="142" w:leader="none"/>
        </w:tabs>
        <w:ind w:left="142" w:hanging="0"/>
        <w:jc w:val="both"/>
        <w:rPr>
          <w:color w:val="auto"/>
          <w:sz w:val="26"/>
          <w:szCs w:val="26"/>
        </w:rPr>
      </w:pPr>
      <w:r>
        <w:rPr>
          <w:color w:val="auto"/>
          <w:sz w:val="26"/>
          <w:szCs w:val="26"/>
        </w:rPr>
        <w:t xml:space="preserve">     </w:t>
      </w:r>
      <w:r>
        <w:rPr>
          <w:color w:val="auto"/>
          <w:sz w:val="26"/>
          <w:szCs w:val="26"/>
        </w:rPr>
        <w:t>«Эффективными» в 2023 году признаны 10 муниципальных программ из  10, это программы, положительное значение показателей которых составило 85-100%.          2. Исполнителям муниципальных программ необходимо при формировании отчетов о ходе реализации программ уделять особое внимание:</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xml:space="preserve">- результатам реализации целевой программы за отчетный период, как  в целом по программе, так и в разрезе отдельных программных мероприятий; </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полноте  выполнения мероприятий целевой программы, в том числе не  требующих финансирования;</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достижению индикаторов  (показателей) программ, выявлению причин, повлиявших на неисполнение индикаторов (показателей) либо исполнение их не в полном объеме;</w:t>
      </w:r>
    </w:p>
    <w:p>
      <w:pPr>
        <w:pStyle w:val="Default"/>
        <w:tabs>
          <w:tab w:val="clear" w:pos="708"/>
          <w:tab w:val="left" w:pos="142" w:leader="none"/>
        </w:tabs>
        <w:jc w:val="both"/>
        <w:rPr>
          <w:color w:val="auto"/>
          <w:sz w:val="26"/>
          <w:szCs w:val="26"/>
        </w:rPr>
      </w:pPr>
      <w:r>
        <w:rPr>
          <w:color w:val="auto"/>
          <w:sz w:val="26"/>
          <w:szCs w:val="26"/>
        </w:rPr>
        <w:t xml:space="preserve">     </w:t>
      </w:r>
      <w:r>
        <w:rPr>
          <w:color w:val="auto"/>
          <w:sz w:val="26"/>
          <w:szCs w:val="26"/>
        </w:rPr>
        <w:t>- своевременно проводить корректировку данных индикаторов,  которые негативно скажутся на эффективности программы в целом.</w:t>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jc w:val="center"/>
        <w:rPr>
          <w:b/>
          <w:b/>
          <w:color w:val="auto"/>
          <w:sz w:val="26"/>
          <w:szCs w:val="26"/>
        </w:rPr>
      </w:pPr>
      <w:r>
        <w:rPr>
          <w:b/>
          <w:color w:val="auto"/>
          <w:sz w:val="26"/>
          <w:szCs w:val="26"/>
        </w:rPr>
      </w:r>
    </w:p>
    <w:p>
      <w:pPr>
        <w:pStyle w:val="Default"/>
        <w:tabs>
          <w:tab w:val="clear" w:pos="708"/>
          <w:tab w:val="left" w:pos="142" w:leader="none"/>
        </w:tabs>
        <w:ind w:right="-284" w:hanging="0"/>
        <w:rPr>
          <w:color w:val="auto"/>
          <w:sz w:val="26"/>
          <w:szCs w:val="26"/>
        </w:rPr>
      </w:pPr>
      <w:r>
        <w:rPr>
          <w:color w:val="auto"/>
          <w:sz w:val="26"/>
          <w:szCs w:val="26"/>
        </w:rPr>
        <w:t>Зам. главного бухгалтера                                                                     Е.В.Коптелина</w:t>
      </w:r>
    </w:p>
    <w:p>
      <w:pPr>
        <w:pStyle w:val="Default"/>
        <w:tabs>
          <w:tab w:val="clear" w:pos="708"/>
          <w:tab w:val="left" w:pos="142" w:leader="none"/>
        </w:tabs>
        <w:ind w:right="-284" w:hanging="0"/>
        <w:jc w:val="both"/>
        <w:rPr>
          <w:color w:val="auto"/>
          <w:sz w:val="26"/>
          <w:szCs w:val="26"/>
        </w:rPr>
      </w:pPr>
      <w:r>
        <w:rPr>
          <w:color w:val="auto"/>
          <w:sz w:val="26"/>
          <w:szCs w:val="26"/>
        </w:rPr>
      </w:r>
    </w:p>
    <w:p>
      <w:pPr>
        <w:pStyle w:val="Default"/>
        <w:tabs>
          <w:tab w:val="clear" w:pos="708"/>
          <w:tab w:val="left" w:pos="142" w:leader="none"/>
        </w:tabs>
        <w:ind w:right="-284" w:hanging="0"/>
        <w:jc w:val="both"/>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tab/>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r>
    </w:p>
    <w:p>
      <w:pPr>
        <w:pStyle w:val="Default"/>
        <w:tabs>
          <w:tab w:val="clear" w:pos="708"/>
          <w:tab w:val="left" w:pos="6663" w:leader="none"/>
        </w:tabs>
        <w:ind w:right="-284" w:hanging="0"/>
        <w:jc w:val="right"/>
        <w:rPr>
          <w:color w:val="auto"/>
          <w:sz w:val="26"/>
          <w:szCs w:val="26"/>
        </w:rPr>
      </w:pPr>
      <w:r>
        <w:rPr>
          <w:color w:val="auto"/>
          <w:sz w:val="26"/>
          <w:szCs w:val="26"/>
        </w:rPr>
        <w:t>Приложение 1</w:t>
      </w:r>
    </w:p>
    <w:p>
      <w:pPr>
        <w:pStyle w:val="ConsPlusNormal"/>
        <w:rPr>
          <w:rFonts w:ascii="Times New Roman" w:hAnsi="Times New Roman" w:cs="Times New Roman"/>
          <w:sz w:val="26"/>
          <w:szCs w:val="26"/>
        </w:rPr>
      </w:pPr>
      <w:r>
        <w:rPr>
          <w:rFonts w:cs="Times New Roman" w:ascii="Times New Roman" w:hAnsi="Times New Roman"/>
          <w:sz w:val="26"/>
          <w:szCs w:val="26"/>
        </w:rPr>
      </w:r>
    </w:p>
    <w:p>
      <w:pPr>
        <w:pStyle w:val="ConsPlusNormal"/>
        <w:jc w:val="center"/>
        <w:rPr>
          <w:rFonts w:ascii="Times New Roman" w:hAnsi="Times New Roman" w:cs="Times New Roman"/>
          <w:b/>
          <w:b/>
          <w:i/>
          <w:i/>
          <w:sz w:val="26"/>
          <w:szCs w:val="26"/>
        </w:rPr>
      </w:pPr>
      <w:bookmarkStart w:id="0" w:name="Par1041"/>
      <w:bookmarkEnd w:id="0"/>
      <w:r>
        <w:rPr>
          <w:rFonts w:cs="Times New Roman" w:ascii="Times New Roman" w:hAnsi="Times New Roman"/>
          <w:b/>
          <w:i/>
          <w:sz w:val="26"/>
          <w:szCs w:val="26"/>
        </w:rPr>
        <w:t>ОТЧЕТ</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об оценке эффективности реализации муниципальных программ,</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действующих на территории Калининского сельсовета</w:t>
      </w:r>
    </w:p>
    <w:p>
      <w:pPr>
        <w:pStyle w:val="ConsPlusNormal"/>
        <w:jc w:val="center"/>
        <w:rPr>
          <w:rFonts w:ascii="Times New Roman" w:hAnsi="Times New Roman" w:cs="Times New Roman"/>
          <w:b/>
          <w:b/>
          <w:i/>
          <w:i/>
          <w:sz w:val="26"/>
          <w:szCs w:val="26"/>
        </w:rPr>
      </w:pPr>
      <w:r>
        <w:rPr>
          <w:rFonts w:cs="Times New Roman" w:ascii="Times New Roman" w:hAnsi="Times New Roman"/>
          <w:b/>
          <w:i/>
          <w:sz w:val="26"/>
          <w:szCs w:val="26"/>
        </w:rPr>
        <w:t>за 2023  год</w:t>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5"/>
        </w:numPr>
        <w:jc w:val="center"/>
        <w:rPr>
          <w:rFonts w:ascii="Times New Roman" w:hAnsi="Times New Roman" w:cs="Times New Roman"/>
          <w:b/>
          <w:b/>
          <w:sz w:val="26"/>
          <w:szCs w:val="26"/>
          <w:u w:val="single"/>
        </w:rPr>
      </w:pPr>
      <w:r>
        <w:rPr>
          <w:rFonts w:cs="Times New Roman" w:ascii="Times New Roman" w:hAnsi="Times New Roman"/>
          <w:b/>
          <w:sz w:val="26"/>
          <w:szCs w:val="26"/>
          <w:u w:val="single"/>
        </w:rPr>
        <w:t>МП «Обеспечение общественного порядка и противодействие преступности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Снижение общего количества явлений криминального характера (преступлений)</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граждан, участвующих в деятельности общественных объединений правоохранительной направленно</w:t>
              <w:softHyphen/>
              <w:t>сти</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rHeight w:val="1180" w:hRule="atLeast"/>
        </w:trPr>
        <w:tc>
          <w:tcPr>
            <w:tcW w:w="4534"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трудоустройство детей, в свободное от учебы время, проживающих  в неблагополучных, малообеспеченных семьях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(чел.)</w:t>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не менее</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rHeight w:val="956" w:hRule="atLeast"/>
        </w:trPr>
        <w:tc>
          <w:tcPr>
            <w:tcW w:w="4534"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ежегодного достижения 100% занятости несовершеннолетних состоящих на профилактическом учете</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85</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Программе присвоен  высший уровень эффективности.</w:t>
            </w:r>
            <w:r>
              <w:rPr>
                <w:b/>
                <w:sz w:val="26"/>
                <w:szCs w:val="26"/>
              </w:rPr>
              <w:t xml:space="preserve"> </w:t>
            </w:r>
            <w:r>
              <w:rPr>
                <w:sz w:val="26"/>
                <w:szCs w:val="26"/>
              </w:rPr>
              <w:t>Итоговая сводная оценка  программы за 2023 год -  95%.</w:t>
            </w:r>
          </w:p>
        </w:tc>
      </w:tr>
    </w:tbl>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numPr>
          <w:ilvl w:val="1"/>
          <w:numId w:val="1"/>
        </w:numPr>
        <w:jc w:val="center"/>
        <w:rPr>
          <w:rFonts w:ascii="Times New Roman" w:hAnsi="Times New Roman" w:cs="Times New Roman"/>
          <w:b/>
          <w:b/>
          <w:i/>
          <w:i/>
          <w:sz w:val="26"/>
          <w:szCs w:val="26"/>
        </w:rPr>
      </w:pPr>
      <w:r>
        <w:rPr>
          <w:rFonts w:cs="Times New Roman" w:ascii="Times New Roman" w:hAnsi="Times New Roman"/>
          <w:b/>
          <w:i/>
          <w:sz w:val="26"/>
          <w:szCs w:val="26"/>
        </w:rPr>
        <w:t>Подпрограмма  «Профилактика правонарушений, обеспечение безопасности и общественного порядка)»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Снижение общего количества явлений криминального характера (преступлений)</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Увеличение количества мероприятий, направленных на повышение уровня правового, культурного, нравственного, спортивного и военно-патриотического воспитания граждан</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Увеличение количества граждан, участвующих в деятельности общественных объединений правоохранительной направленно</w:t>
              <w:softHyphen/>
              <w:t>сти</w:t>
            </w:r>
          </w:p>
        </w:tc>
        <w:tc>
          <w:tcPr>
            <w:tcW w:w="1320"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2023 год -  100%.</w:t>
            </w:r>
          </w:p>
        </w:tc>
      </w:tr>
    </w:tbl>
    <w:p>
      <w:pPr>
        <w:pStyle w:val="ConsPlusNormal"/>
        <w:ind w:left="360" w:hanging="0"/>
        <w:jc w:val="center"/>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ConsPlusNormal"/>
        <w:numPr>
          <w:ilvl w:val="1"/>
          <w:numId w:val="1"/>
        </w:numPr>
        <w:jc w:val="center"/>
        <w:rPr>
          <w:rFonts w:ascii="Times New Roman" w:hAnsi="Times New Roman" w:cs="Times New Roman"/>
          <w:b/>
          <w:b/>
          <w:i/>
          <w:i/>
          <w:sz w:val="26"/>
          <w:szCs w:val="26"/>
        </w:rPr>
      </w:pPr>
      <w:r>
        <w:rPr>
          <w:rFonts w:cs="Times New Roman" w:ascii="Times New Roman" w:hAnsi="Times New Roman"/>
          <w:b/>
          <w:i/>
          <w:sz w:val="26"/>
          <w:szCs w:val="26"/>
        </w:rPr>
        <w:t>Подпрограмма  «Профилактика безнадзорности и правонарушений несовершеннолетних»</w:t>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Трудоустройство подростков на временные работы в свободное от учебы время (благоустройство детской площадки)</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70,0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37,5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 не превышать уровень преступности несовершеннолетних от детского населения в поселении</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0,7</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0,7</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Оказание материальной помощи детям, проживающим в неблагополучных, малообеспеченных семьях</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семьи</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не менее 1 семьи</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Ежегодное достижение количества несовершеннолетних, состоящих на профилактическом учете, занятых в кружках, секциях, в свободное от учебы время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Ежегодное достижение занятости подростков, состоящих и не состоящих на проф.учете</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+4</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2023 год -  85%.</w:t>
            </w:r>
          </w:p>
        </w:tc>
      </w:tr>
    </w:tbl>
    <w:p>
      <w:pPr>
        <w:pStyle w:val="ConsPlusNormal"/>
        <w:ind w:left="360" w:hanging="0"/>
        <w:jc w:val="center"/>
        <w:rPr>
          <w:rFonts w:ascii="Times New Roman" w:hAnsi="Times New Roman" w:cs="Times New Roman"/>
          <w:b/>
          <w:b/>
          <w:i/>
          <w:i/>
          <w:sz w:val="26"/>
          <w:szCs w:val="26"/>
        </w:rPr>
      </w:pPr>
      <w:r>
        <w:rPr>
          <w:rFonts w:cs="Times New Roman" w:ascii="Times New Roman" w:hAnsi="Times New Roman"/>
          <w:b/>
          <w:i/>
          <w:sz w:val="26"/>
          <w:szCs w:val="26"/>
        </w:rPr>
      </w:r>
    </w:p>
    <w:p>
      <w:pPr>
        <w:pStyle w:val="ConsPlusNormal"/>
        <w:ind w:left="360" w:hanging="0"/>
        <w:jc w:val="center"/>
        <w:rPr>
          <w:rFonts w:ascii="Times New Roman" w:hAnsi="Times New Roman" w:cs="Times New Roman"/>
          <w:b/>
          <w:b/>
          <w:i/>
          <w:i/>
          <w:sz w:val="26"/>
          <w:szCs w:val="26"/>
        </w:rPr>
      </w:pPr>
      <w:r>
        <w:rPr>
          <w:rFonts w:cs="Times New Roman" w:ascii="Times New Roman" w:hAnsi="Times New Roman"/>
          <w:b/>
          <w:i/>
          <w:sz w:val="26"/>
          <w:szCs w:val="26"/>
        </w:rPr>
        <w:t>1.3.Подпрограмма  «Противодействие незаконному обороту наркотиков, снижение масштабов наркотизации населения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Доля уничтоженных очагов дикорастущей конопли от общей площади зарегистрированных очагов</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100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Уменьшить количество преступлений, связанных с употреблением и распространением наркотических веществ</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на 1</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1214"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средний уровень эффективности.</w:t>
            </w:r>
            <w:r>
              <w:rPr>
                <w:b/>
                <w:sz w:val="26"/>
                <w:szCs w:val="26"/>
              </w:rPr>
              <w:t xml:space="preserve"> </w:t>
            </w:r>
            <w:r>
              <w:rPr>
                <w:sz w:val="26"/>
                <w:szCs w:val="26"/>
              </w:rPr>
              <w:t>Итоговая сводная оценка  подпрограммы за 2023 год -  90%.</w:t>
            </w:r>
          </w:p>
        </w:tc>
      </w:tr>
    </w:tbl>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6"/>
        </w:numPr>
        <w:spacing w:lineRule="atLeast" w:line="240" w:before="0" w:after="0"/>
        <w:contextualSpacing/>
        <w:rPr>
          <w:rFonts w:ascii="Times New Roman" w:hAnsi="Times New Roman"/>
          <w:b/>
          <w:b/>
          <w:sz w:val="26"/>
          <w:szCs w:val="26"/>
          <w:u w:val="single"/>
        </w:rPr>
      </w:pPr>
      <w:r>
        <w:rPr>
          <w:rFonts w:ascii="Times New Roman" w:hAnsi="Times New Roman"/>
          <w:b/>
          <w:sz w:val="26"/>
          <w:szCs w:val="26"/>
          <w:u w:val="single"/>
        </w:rPr>
        <w:t>МП «Защита населения и территории Калининского сельсовета от чрезвычайных ситуаций, обеспечение пожарной безопасности и безопасности людей на водных объектах »</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44" w:type="dxa"/>
        <w:jc w:val="left"/>
        <w:tblInd w:w="-351" w:type="dxa"/>
        <w:tblLayout w:type="fixed"/>
        <w:tblCellMar>
          <w:top w:w="0" w:type="dxa"/>
          <w:left w:w="75" w:type="dxa"/>
          <w:bottom w:w="0" w:type="dxa"/>
          <w:right w:w="75" w:type="dxa"/>
        </w:tblCellMar>
        <w:tblLook w:val="04a0"/>
      </w:tblPr>
      <w:tblGrid>
        <w:gridCol w:w="4534"/>
        <w:gridCol w:w="1320"/>
        <w:gridCol w:w="1960"/>
        <w:gridCol w:w="1439"/>
        <w:gridCol w:w="1091"/>
      </w:tblGrid>
      <w:tr>
        <w:trPr>
          <w:trHeight w:val="400" w:hRule="atLeast"/>
        </w:trPr>
        <w:tc>
          <w:tcPr>
            <w:tcW w:w="4534"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490"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5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Объем резервов финансовых ресурсов для ликвидации последствий чрезвычайных ситуаций в расчете на душу населения Калининского сельсовета, руб./чел.;</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руб./чел.</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 xml:space="preserve">10,7/13938 </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Сокращение времени оповещения и информирования населения при угрозе ЧС %</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6,5</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Наличие специального оборудования и пожарно-технического вооружения.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1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3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09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rPr>
            </w:pPr>
            <w:r>
              <w:rPr>
                <w:rFonts w:ascii="Times New Roman" w:hAnsi="Times New Roman"/>
                <w:sz w:val="26"/>
                <w:szCs w:val="26"/>
              </w:rPr>
              <w:t>Обеспечение бесперебойной работы наружных противопожарных источников водоснабжения в населенных пунктах.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Увеличение количества населения, задействованного в проведении агитационных и профилактических мероприятиях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65</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62</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Количество проведенных пожарно-профилактических и других мероприятий, шт.</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шт.</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15</w:t>
            </w:r>
          </w:p>
        </w:tc>
        <w:tc>
          <w:tcPr>
            <w:tcW w:w="1091"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Количество распространенных памяток и рекламной продукции (листовки, брошюры) по обеспечению пожарной безопасности и безопасности поведения людей на воде шт.</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шт.</w:t>
            </w:r>
          </w:p>
        </w:tc>
        <w:tc>
          <w:tcPr>
            <w:tcW w:w="1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480</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523</w:t>
            </w:r>
          </w:p>
        </w:tc>
        <w:tc>
          <w:tcPr>
            <w:tcW w:w="1091"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+1</w:t>
            </w:r>
          </w:p>
        </w:tc>
      </w:tr>
      <w:tr>
        <w:trPr/>
        <w:tc>
          <w:tcPr>
            <w:tcW w:w="4534" w:type="dxa"/>
            <w:tcBorders>
              <w:left w:val="single" w:sz="4" w:space="0" w:color="000000"/>
              <w:bottom w:val="single" w:sz="4" w:space="0" w:color="000000"/>
              <w:right w:val="single" w:sz="4" w:space="0" w:color="000000"/>
            </w:tcBorders>
          </w:tcPr>
          <w:p>
            <w:pPr>
              <w:pStyle w:val="NoSpacing"/>
              <w:widowControl w:val="false"/>
              <w:ind w:right="87" w:hanging="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Количество подготовленных матросов – спасателей, прошедших обучение приёмам спасания людей на водных объектах и правилам оказания первой помощи </w:t>
            </w:r>
          </w:p>
        </w:tc>
        <w:tc>
          <w:tcPr>
            <w:tcW w:w="1320" w:type="dxa"/>
            <w:tcBorders>
              <w:left w:val="single" w:sz="4" w:space="0" w:color="000000"/>
              <w:bottom w:val="single" w:sz="4" w:space="0" w:color="000000"/>
              <w:right w:val="single" w:sz="4" w:space="0" w:color="000000"/>
            </w:tcBorders>
            <w:vAlign w:val="center"/>
          </w:tcPr>
          <w:p>
            <w:pPr>
              <w:pStyle w:val="Style29"/>
              <w:widowControl w:val="false"/>
              <w:snapToGrid w:val="false"/>
              <w:ind w:right="-1" w:hanging="0"/>
              <w:jc w:val="center"/>
              <w:rPr>
                <w:sz w:val="26"/>
                <w:szCs w:val="26"/>
              </w:rPr>
            </w:pPr>
            <w:r>
              <w:rPr>
                <w:sz w:val="26"/>
                <w:szCs w:val="26"/>
              </w:rPr>
              <w:t>чел.</w:t>
            </w:r>
          </w:p>
        </w:tc>
        <w:tc>
          <w:tcPr>
            <w:tcW w:w="1960" w:type="dxa"/>
            <w:tcBorders>
              <w:left w:val="single" w:sz="4" w:space="0" w:color="000000"/>
              <w:bottom w:val="single" w:sz="4" w:space="0" w:color="000000"/>
              <w:right w:val="single" w:sz="4" w:space="0" w:color="000000"/>
            </w:tcBorders>
            <w:vAlign w:val="center"/>
          </w:tcPr>
          <w:p>
            <w:pPr>
              <w:pStyle w:val="Style29"/>
              <w:widowControl w:val="false"/>
              <w:snapToGrid w:val="false"/>
              <w:ind w:right="-1" w:hanging="0"/>
              <w:jc w:val="center"/>
              <w:rPr>
                <w:rFonts w:eastAsia="Times New Roman"/>
                <w:sz w:val="26"/>
                <w:szCs w:val="26"/>
              </w:rPr>
            </w:pPr>
            <w:r>
              <w:rPr>
                <w:rFonts w:eastAsia="Times New Roman"/>
                <w:sz w:val="26"/>
                <w:szCs w:val="26"/>
              </w:rPr>
              <w:t>2</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96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Х     </w:t>
            </w:r>
          </w:p>
        </w:tc>
        <w:tc>
          <w:tcPr>
            <w:tcW w:w="109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+7</w:t>
            </w:r>
          </w:p>
        </w:tc>
      </w:tr>
      <w:tr>
        <w:trPr>
          <w:trHeight w:val="1549" w:hRule="atLeast"/>
        </w:trPr>
        <w:tc>
          <w:tcPr>
            <w:tcW w:w="4534"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810"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Подпрограмме присвоен  высший уровень эффективности.</w:t>
            </w:r>
            <w:r>
              <w:rPr>
                <w:b/>
                <w:sz w:val="26"/>
                <w:szCs w:val="26"/>
              </w:rPr>
              <w:t xml:space="preserve"> </w:t>
            </w:r>
            <w:r>
              <w:rPr>
                <w:sz w:val="26"/>
                <w:szCs w:val="26"/>
              </w:rPr>
              <w:t>Итоговая сводная оценка  подпрограммы за 2023 год –100 % .</w:t>
            </w:r>
          </w:p>
          <w:p>
            <w:pPr>
              <w:pStyle w:val="Normal"/>
              <w:widowControl w:val="false"/>
              <w:rPr>
                <w:sz w:val="26"/>
                <w:szCs w:val="26"/>
              </w:rPr>
            </w:pPr>
            <w:r>
              <w:rPr>
                <w:sz w:val="26"/>
                <w:szCs w:val="26"/>
              </w:rPr>
            </w:r>
          </w:p>
        </w:tc>
      </w:tr>
    </w:tbl>
    <w:p>
      <w:pPr>
        <w:pStyle w:val="Normal"/>
        <w:tabs>
          <w:tab w:val="clear" w:pos="708"/>
          <w:tab w:val="left" w:pos="6390" w:leader="none"/>
        </w:tabs>
        <w:spacing w:lineRule="atLeast" w:line="240"/>
        <w:jc w:val="center"/>
        <w:rPr>
          <w:b/>
          <w:b/>
          <w:sz w:val="26"/>
          <w:szCs w:val="26"/>
          <w:u w:val="single"/>
        </w:rPr>
      </w:pPr>
      <w:r>
        <w:rPr>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3. МП «Дорожное хозяйство»</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9792" w:type="dxa"/>
        <w:jc w:val="left"/>
        <w:tblInd w:w="75" w:type="dxa"/>
        <w:tblLayout w:type="fixed"/>
        <w:tblCellMar>
          <w:top w:w="0" w:type="dxa"/>
          <w:left w:w="75" w:type="dxa"/>
          <w:bottom w:w="0" w:type="dxa"/>
          <w:right w:w="75" w:type="dxa"/>
        </w:tblCellMar>
        <w:tblLook w:val="04a0"/>
      </w:tblPr>
      <w:tblGrid>
        <w:gridCol w:w="4110"/>
        <w:gridCol w:w="1320"/>
        <w:gridCol w:w="1961"/>
        <w:gridCol w:w="1441"/>
        <w:gridCol w:w="960"/>
      </w:tblGrid>
      <w:tr>
        <w:trPr>
          <w:trHeight w:val="400" w:hRule="atLeast"/>
        </w:trPr>
        <w:tc>
          <w:tcPr>
            <w:tcW w:w="411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36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bl>
    <w:p>
      <w:pPr>
        <w:pStyle w:val="Normal"/>
        <w:rPr>
          <w:sz w:val="26"/>
          <w:szCs w:val="26"/>
        </w:rPr>
      </w:pPr>
      <w:r>
        <w:rPr>
          <w:sz w:val="26"/>
          <w:szCs w:val="26"/>
        </w:rPr>
      </w:r>
    </w:p>
    <w:tbl>
      <w:tblPr>
        <w:tblW w:w="10055" w:type="dxa"/>
        <w:jc w:val="left"/>
        <w:tblInd w:w="75" w:type="dxa"/>
        <w:tblLayout w:type="fixed"/>
        <w:tblCellMar>
          <w:top w:w="0" w:type="dxa"/>
          <w:left w:w="75" w:type="dxa"/>
          <w:bottom w:w="0" w:type="dxa"/>
          <w:right w:w="75" w:type="dxa"/>
        </w:tblCellMar>
        <w:tblLook w:val="0000"/>
      </w:tblPr>
      <w:tblGrid>
        <w:gridCol w:w="4111"/>
        <w:gridCol w:w="1319"/>
        <w:gridCol w:w="2224"/>
        <w:gridCol w:w="1440"/>
        <w:gridCol w:w="961"/>
      </w:tblGrid>
      <w:tr>
        <w:trPr>
          <w:trHeight w:val="400" w:hRule="atLeast"/>
        </w:trPr>
        <w:tc>
          <w:tcPr>
            <w:tcW w:w="4111"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1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25"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1"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c>
          <w:tcPr>
            <w:tcW w:w="1319" w:type="dxa"/>
            <w:vMerge w:val="continue"/>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c>
          <w:tcPr>
            <w:tcW w:w="222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w:t>
              <w:br/>
            </w:r>
          </w:p>
        </w:tc>
        <w:tc>
          <w:tcPr>
            <w:tcW w:w="144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1" w:type="dxa"/>
            <w:tcBorders>
              <w:left w:val="single" w:sz="4" w:space="0" w:color="000000"/>
              <w:bottom w:val="single" w:sz="4" w:space="0" w:color="000000"/>
              <w:right w:val="single" w:sz="4" w:space="0" w:color="000000"/>
            </w:tcBorders>
          </w:tcPr>
          <w:p>
            <w:pPr>
              <w:pStyle w:val="PlainText"/>
              <w:widowControl w:val="false"/>
              <w:rPr>
                <w:rFonts w:ascii="Times New Roman" w:hAnsi="Times New Roman"/>
                <w:sz w:val="26"/>
                <w:szCs w:val="26"/>
              </w:rPr>
            </w:pPr>
            <w:r>
              <w:rPr>
                <w:rFonts w:ascii="Times New Roman" w:hAnsi="Times New Roman"/>
                <w:sz w:val="26"/>
                <w:szCs w:val="26"/>
              </w:rPr>
              <w:t xml:space="preserve">Ремонт, капитальный ремонт автомобильных дорог общего       </w:t>
              <w:br/>
              <w:t xml:space="preserve">пользования местного значения     </w:t>
            </w:r>
          </w:p>
        </w:tc>
        <w:tc>
          <w:tcPr>
            <w:tcW w:w="131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2224" w:type="dxa"/>
            <w:tcBorders>
              <w:left w:val="single" w:sz="4" w:space="0" w:color="000000"/>
              <w:bottom w:val="single" w:sz="4" w:space="0" w:color="000000"/>
              <w:right w:val="single" w:sz="4" w:space="0" w:color="000000"/>
            </w:tcBorders>
            <w:vAlign w:val="center"/>
          </w:tcPr>
          <w:p>
            <w:pPr>
              <w:pStyle w:val="PlainText"/>
              <w:widowControl w:val="false"/>
              <w:jc w:val="center"/>
              <w:rPr>
                <w:rFonts w:ascii="Times New Roman" w:hAnsi="Times New Roman"/>
                <w:sz w:val="26"/>
                <w:szCs w:val="26"/>
              </w:rPr>
            </w:pPr>
            <w:r>
              <w:rPr>
                <w:rFonts w:ascii="Times New Roman" w:hAnsi="Times New Roman"/>
                <w:sz w:val="26"/>
                <w:szCs w:val="26"/>
              </w:rPr>
              <w:t>77 986,8</w:t>
            </w:r>
          </w:p>
        </w:tc>
        <w:tc>
          <w:tcPr>
            <w:tcW w:w="144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51 393,5</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rHeight w:val="505" w:hRule="atLeast"/>
        </w:trPr>
        <w:tc>
          <w:tcPr>
            <w:tcW w:w="4111" w:type="dxa"/>
            <w:tcBorders>
              <w:left w:val="single" w:sz="4" w:space="0" w:color="000000"/>
              <w:bottom w:val="single" w:sz="4" w:space="0" w:color="000000"/>
              <w:right w:val="single" w:sz="4" w:space="0" w:color="000000"/>
            </w:tcBorders>
          </w:tcPr>
          <w:p>
            <w:pPr>
              <w:pStyle w:val="PlainText"/>
              <w:widowControl w:val="false"/>
              <w:rPr>
                <w:rFonts w:ascii="Times New Roman" w:hAnsi="Times New Roman"/>
                <w:sz w:val="26"/>
                <w:szCs w:val="26"/>
              </w:rPr>
            </w:pPr>
            <w:r>
              <w:rPr>
                <w:rFonts w:ascii="Times New Roman" w:hAnsi="Times New Roman"/>
                <w:sz w:val="26"/>
                <w:szCs w:val="26"/>
              </w:rPr>
              <w:t xml:space="preserve">Содержание дорог </w:t>
            </w:r>
          </w:p>
        </w:tc>
        <w:tc>
          <w:tcPr>
            <w:tcW w:w="1319"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тыс.руб.</w:t>
            </w:r>
          </w:p>
        </w:tc>
        <w:tc>
          <w:tcPr>
            <w:tcW w:w="2224" w:type="dxa"/>
            <w:tcBorders>
              <w:left w:val="single" w:sz="4" w:space="0" w:color="000000"/>
              <w:bottom w:val="single" w:sz="4" w:space="0" w:color="000000"/>
              <w:right w:val="single" w:sz="4" w:space="0" w:color="000000"/>
            </w:tcBorders>
            <w:vAlign w:val="center"/>
          </w:tcPr>
          <w:p>
            <w:pPr>
              <w:pStyle w:val="PlainText"/>
              <w:widowControl w:val="false"/>
              <w:jc w:val="center"/>
              <w:rPr>
                <w:rFonts w:ascii="Times New Roman" w:hAnsi="Times New Roman"/>
                <w:sz w:val="26"/>
                <w:szCs w:val="26"/>
              </w:rPr>
            </w:pPr>
            <w:r>
              <w:rPr>
                <w:rFonts w:ascii="Times New Roman" w:hAnsi="Times New Roman"/>
                <w:sz w:val="26"/>
                <w:szCs w:val="26"/>
              </w:rPr>
              <w:t>2 853,1</w:t>
            </w:r>
          </w:p>
        </w:tc>
        <w:tc>
          <w:tcPr>
            <w:tcW w:w="144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2 853,1</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Проектно-сметная документация с экспертизой, оценка соответствия построенного объекта</w:t>
            </w:r>
          </w:p>
        </w:tc>
        <w:tc>
          <w:tcPr>
            <w:tcW w:w="1319"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 руб.</w:t>
            </w:r>
          </w:p>
        </w:tc>
        <w:tc>
          <w:tcPr>
            <w:tcW w:w="2224"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12 765,0</w:t>
            </w:r>
          </w:p>
        </w:tc>
        <w:tc>
          <w:tcPr>
            <w:tcW w:w="144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12 765,0</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1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2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93 604,9</w:t>
            </w:r>
          </w:p>
        </w:tc>
        <w:tc>
          <w:tcPr>
            <w:tcW w:w="144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67 011,6</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tc>
      </w:tr>
      <w:tr>
        <w:trPr>
          <w:trHeight w:val="800" w:hRule="atLeast"/>
        </w:trPr>
        <w:tc>
          <w:tcPr>
            <w:tcW w:w="411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44" w:type="dxa"/>
            <w:gridSpan w:val="4"/>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Программа считается эффективной, т.к. фактическое  исполнение работ выполнено полностью.</w:t>
            </w:r>
          </w:p>
          <w:p>
            <w:pPr>
              <w:pStyle w:val="Normal"/>
              <w:widowControl w:val="false"/>
              <w:rPr>
                <w:sz w:val="26"/>
                <w:szCs w:val="26"/>
                <w:lang w:eastAsia="en-US"/>
              </w:rPr>
            </w:pPr>
            <w:r>
              <w:rPr>
                <w:sz w:val="26"/>
                <w:szCs w:val="26"/>
                <w:lang w:eastAsia="en-US"/>
              </w:rPr>
              <w:t>за 2023 год 92%</w:t>
            </w:r>
          </w:p>
        </w:tc>
      </w:tr>
    </w:tbl>
    <w:p>
      <w:pPr>
        <w:pStyle w:val="Normal"/>
        <w:rPr>
          <w:sz w:val="26"/>
          <w:szCs w:val="26"/>
        </w:rPr>
      </w:pPr>
      <w:r>
        <w:rPr>
          <w:sz w:val="26"/>
          <w:szCs w:val="26"/>
        </w:rPr>
      </w:r>
    </w:p>
    <w:p>
      <w:pPr>
        <w:pStyle w:val="Normal"/>
        <w:rPr>
          <w:sz w:val="26"/>
          <w:szCs w:val="26"/>
        </w:rPr>
      </w:pPr>
      <w:r>
        <w:rPr>
          <w:sz w:val="26"/>
          <w:szCs w:val="26"/>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4. МП «Развитие субъектов малого и среднего предпринимательства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Normal"/>
        <w:tabs>
          <w:tab w:val="clear" w:pos="708"/>
          <w:tab w:val="left" w:pos="6390" w:leader="none"/>
        </w:tabs>
        <w:rPr>
          <w:sz w:val="26"/>
          <w:szCs w:val="26"/>
        </w:rPr>
      </w:pPr>
      <w:r>
        <w:rPr>
          <w:sz w:val="26"/>
          <w:szCs w:val="26"/>
        </w:rPr>
      </w:r>
    </w:p>
    <w:tbl>
      <w:tblPr>
        <w:tblW w:w="9792" w:type="dxa"/>
        <w:jc w:val="left"/>
        <w:tblInd w:w="75" w:type="dxa"/>
        <w:tblLayout w:type="fixed"/>
        <w:tblCellMar>
          <w:top w:w="0" w:type="dxa"/>
          <w:left w:w="75" w:type="dxa"/>
          <w:bottom w:w="0" w:type="dxa"/>
          <w:right w:w="75" w:type="dxa"/>
        </w:tblCellMar>
        <w:tblLook w:val="04a0"/>
      </w:tblPr>
      <w:tblGrid>
        <w:gridCol w:w="4110"/>
        <w:gridCol w:w="1320"/>
        <w:gridCol w:w="1961"/>
        <w:gridCol w:w="1441"/>
        <w:gridCol w:w="960"/>
      </w:tblGrid>
      <w:tr>
        <w:trPr>
          <w:trHeight w:val="400" w:hRule="atLeast"/>
        </w:trPr>
        <w:tc>
          <w:tcPr>
            <w:tcW w:w="411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362"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61"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1"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0" w:type="dxa"/>
            <w:tcBorders>
              <w:left w:val="single" w:sz="4" w:space="0" w:color="000000"/>
              <w:bottom w:val="single" w:sz="4" w:space="0" w:color="000000"/>
              <w:right w:val="single" w:sz="4" w:space="0" w:color="000000"/>
            </w:tcBorders>
          </w:tcPr>
          <w:p>
            <w:pPr>
              <w:pStyle w:val="PlainText"/>
              <w:widowControl w:val="false"/>
              <w:rPr>
                <w:rFonts w:ascii="Times New Roman" w:hAnsi="Times New Roman"/>
                <w:sz w:val="26"/>
                <w:szCs w:val="26"/>
              </w:rPr>
            </w:pPr>
            <w:r>
              <w:rPr>
                <w:rFonts w:ascii="Times New Roman" w:hAnsi="Times New Roman"/>
                <w:sz w:val="26"/>
                <w:szCs w:val="26"/>
              </w:rPr>
              <w:t>Поощрение субъектов малого и среднего бизнеса</w:t>
            </w:r>
          </w:p>
        </w:tc>
        <w:tc>
          <w:tcPr>
            <w:tcW w:w="132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тыс.руб.</w:t>
            </w:r>
          </w:p>
        </w:tc>
        <w:tc>
          <w:tcPr>
            <w:tcW w:w="1961" w:type="dxa"/>
            <w:tcBorders>
              <w:left w:val="single" w:sz="4" w:space="0" w:color="000000"/>
              <w:bottom w:val="single" w:sz="4" w:space="0" w:color="000000"/>
              <w:right w:val="single" w:sz="4" w:space="0" w:color="000000"/>
            </w:tcBorders>
            <w:vAlign w:val="center"/>
          </w:tcPr>
          <w:p>
            <w:pPr>
              <w:pStyle w:val="PlainText"/>
              <w:widowControl w:val="false"/>
              <w:jc w:val="center"/>
              <w:rPr>
                <w:rFonts w:ascii="Times New Roman" w:hAnsi="Times New Roman"/>
                <w:sz w:val="26"/>
                <w:szCs w:val="26"/>
              </w:rPr>
            </w:pPr>
            <w:r>
              <w:rPr>
                <w:rFonts w:ascii="Times New Roman" w:hAnsi="Times New Roman"/>
                <w:sz w:val="26"/>
                <w:szCs w:val="26"/>
              </w:rPr>
              <w:t>13,5</w:t>
            </w:r>
          </w:p>
        </w:tc>
        <w:tc>
          <w:tcPr>
            <w:tcW w:w="144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0</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рост числа малых (включая микропредприятия) и средних предприятий на территории Калининского сельсовета (единиц ежегодно)  по годам: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ед.</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рост числа услуг (методических, информационных, консультативных), оказанных субъектам малого и среднего предпринимательства в администрации Калининского сельсовета</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4110"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682"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Программе присвоен средний уровень эффективности. Итоговая сводная оценка  программы за 2023 год -  90%.</w:t>
            </w:r>
          </w:p>
        </w:tc>
      </w:tr>
    </w:tbl>
    <w:p>
      <w:pPr>
        <w:pStyle w:val="ListParagraph"/>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ListParagraph"/>
        <w:tabs>
          <w:tab w:val="clear" w:pos="708"/>
          <w:tab w:val="left" w:pos="6390" w:leader="none"/>
        </w:tabs>
        <w:spacing w:lineRule="atLeast" w:line="240" w:before="0" w:after="0"/>
        <w:ind w:left="0" w:hanging="0"/>
        <w:contextualSpacing/>
        <w:jc w:val="center"/>
        <w:rPr>
          <w:rFonts w:ascii="Times New Roman" w:hAnsi="Times New Roman"/>
          <w:sz w:val="26"/>
          <w:szCs w:val="26"/>
        </w:rPr>
      </w:pPr>
      <w:r>
        <w:rPr>
          <w:rFonts w:ascii="Times New Roman" w:hAnsi="Times New Roman"/>
          <w:b/>
          <w:sz w:val="26"/>
          <w:szCs w:val="26"/>
          <w:u w:val="single"/>
        </w:rPr>
        <w:t xml:space="preserve">5. </w:t>
      </w:r>
      <w:r>
        <w:rPr>
          <w:rFonts w:ascii="Times New Roman" w:hAnsi="Times New Roman"/>
          <w:b/>
          <w:sz w:val="26"/>
          <w:szCs w:val="26"/>
        </w:rPr>
        <w:t xml:space="preserve">МП </w:t>
      </w:r>
      <w:r>
        <w:rPr>
          <w:rFonts w:ascii="Times New Roman" w:hAnsi="Times New Roman"/>
          <w:b/>
          <w:i/>
          <w:sz w:val="26"/>
          <w:szCs w:val="26"/>
        </w:rPr>
        <w:t xml:space="preserve">«Благоустройство территории Калининского сельсовета)» </w:t>
      </w:r>
      <w:r>
        <w:rPr>
          <w:rFonts w:ascii="Times New Roman" w:hAnsi="Times New Roman"/>
          <w:sz w:val="26"/>
          <w:szCs w:val="26"/>
        </w:rPr>
        <w:t>(наименование муниципальной программы, годы ее реализации, исполнитель)</w:t>
      </w:r>
    </w:p>
    <w:p>
      <w:pPr>
        <w:pStyle w:val="ListParagraph"/>
        <w:spacing w:lineRule="atLeast" w:line="240" w:before="0" w:after="0"/>
        <w:ind w:left="0" w:hanging="0"/>
        <w:contextualSpacing/>
        <w:jc w:val="center"/>
        <w:rPr>
          <w:rFonts w:ascii="Times New Roman" w:hAnsi="Times New Roman"/>
          <w:sz w:val="26"/>
          <w:szCs w:val="26"/>
        </w:rPr>
      </w:pPr>
      <w:r>
        <w:rPr>
          <w:rFonts w:ascii="Times New Roman" w:hAnsi="Times New Roman"/>
          <w:sz w:val="26"/>
          <w:szCs w:val="26"/>
        </w:rPr>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Создание социально комфортной и экологически безопасной среды жизнедеятельности для граждан, проживающих на территории Калининского сельсовета</w:t>
            </w:r>
          </w:p>
        </w:tc>
        <w:tc>
          <w:tcPr>
            <w:tcW w:w="1322"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r>
          </w:p>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95</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Мероприятия по организации уличного освещения населенных пунктов муниципальных образований поселений</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тыс.руб.</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5 334,3</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4 563,7</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Мероприятия по организации и содержанию мест захоронений поселений</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тыс.руб.</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400,0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368,0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Прочие мероприятия по благоустройству</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sz w:val="26"/>
                <w:szCs w:val="26"/>
              </w:rPr>
              <w:t>тыс.руб.</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10 242,9</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9 762,3</w:t>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Повышение качества уровня жизни населения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100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86</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Программе присвоен  высший уровень эффективности. Итоговая сводная оценка  программы за 2023 год -  100%.</w:t>
            </w:r>
          </w:p>
        </w:tc>
      </w:tr>
    </w:tbl>
    <w:p>
      <w:pPr>
        <w:pStyle w:val="ListParagraph"/>
        <w:spacing w:lineRule="atLeast" w:line="240" w:before="0" w:after="0"/>
        <w:ind w:left="0" w:hanging="0"/>
        <w:contextualSpacing/>
        <w:jc w:val="center"/>
        <w:rPr>
          <w:rFonts w:ascii="Times New Roman" w:hAnsi="Times New Roman"/>
          <w:sz w:val="26"/>
          <w:szCs w:val="26"/>
        </w:rPr>
      </w:pPr>
      <w:r>
        <w:rPr>
          <w:rFonts w:ascii="Times New Roman" w:hAnsi="Times New Roman"/>
          <w:sz w:val="26"/>
          <w:szCs w:val="26"/>
        </w:rPr>
      </w:r>
    </w:p>
    <w:p>
      <w:pPr>
        <w:pStyle w:val="Normal"/>
        <w:ind w:firstLine="709"/>
        <w:jc w:val="center"/>
        <w:rPr>
          <w:b/>
          <w:b/>
          <w:i/>
          <w:i/>
          <w:sz w:val="26"/>
          <w:szCs w:val="26"/>
          <w:u w:val="single"/>
        </w:rPr>
      </w:pPr>
      <w:r>
        <w:rPr>
          <w:b/>
          <w:i/>
          <w:sz w:val="26"/>
          <w:szCs w:val="26"/>
          <w:u w:val="single"/>
        </w:rPr>
        <w:t>6.</w:t>
      </w:r>
      <w:r>
        <w:rPr>
          <w:b/>
          <w:sz w:val="26"/>
          <w:szCs w:val="26"/>
          <w:u w:val="single"/>
        </w:rPr>
        <w:t xml:space="preserve"> МП</w:t>
      </w:r>
      <w:r>
        <w:rPr>
          <w:b/>
          <w:i/>
          <w:sz w:val="26"/>
          <w:szCs w:val="26"/>
          <w:u w:val="single"/>
        </w:rPr>
        <w:t xml:space="preserve"> «Энергосбережение и повышение энергетической эффективности в Калининском сельсовете»</w:t>
      </w:r>
    </w:p>
    <w:p>
      <w:pPr>
        <w:pStyle w:val="Normal"/>
        <w:ind w:firstLine="709"/>
        <w:jc w:val="center"/>
        <w:rPr>
          <w:b/>
          <w:b/>
          <w:sz w:val="26"/>
          <w:szCs w:val="26"/>
        </w:rPr>
      </w:pPr>
      <w:r>
        <w:rPr>
          <w:b/>
          <w:sz w:val="26"/>
          <w:szCs w:val="26"/>
        </w:rPr>
      </w:r>
    </w:p>
    <w:tbl>
      <w:tblPr>
        <w:tblW w:w="9924" w:type="dxa"/>
        <w:jc w:val="left"/>
        <w:tblInd w:w="75" w:type="dxa"/>
        <w:tblLayout w:type="fixed"/>
        <w:tblCellMar>
          <w:top w:w="0" w:type="dxa"/>
          <w:left w:w="75" w:type="dxa"/>
          <w:bottom w:w="0" w:type="dxa"/>
          <w:right w:w="75" w:type="dxa"/>
        </w:tblCellMar>
        <w:tblLook w:val="04a0"/>
      </w:tblPr>
      <w:tblGrid>
        <w:gridCol w:w="3969"/>
        <w:gridCol w:w="1418"/>
        <w:gridCol w:w="1984"/>
        <w:gridCol w:w="1418"/>
        <w:gridCol w:w="1135"/>
      </w:tblGrid>
      <w:tr>
        <w:trPr>
          <w:trHeight w:val="400" w:hRule="atLeast"/>
        </w:trPr>
        <w:tc>
          <w:tcPr>
            <w:tcW w:w="3969"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537"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39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4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98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18"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1135"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3969" w:type="dxa"/>
            <w:tcBorders>
              <w:left w:val="single" w:sz="4" w:space="0" w:color="000000"/>
              <w:bottom w:val="single" w:sz="4" w:space="0" w:color="000000"/>
              <w:right w:val="single" w:sz="4" w:space="0" w:color="000000"/>
            </w:tcBorders>
          </w:tcPr>
          <w:p>
            <w:pPr>
              <w:pStyle w:val="ConsPlusCell"/>
              <w:widowControl w:val="false"/>
              <w:spacing w:lineRule="auto" w:line="276"/>
              <w:ind w:right="87" w:hanging="0"/>
              <w:rPr>
                <w:rFonts w:ascii="Times New Roman" w:hAnsi="Times New Roman" w:cs="Times New Roman"/>
                <w:sz w:val="26"/>
                <w:szCs w:val="26"/>
              </w:rPr>
            </w:pPr>
            <w:r>
              <w:rPr>
                <w:rFonts w:eastAsia="Times New Roman" w:cs="Times New Roman" w:ascii="Times New Roman" w:hAnsi="Times New Roman"/>
                <w:sz w:val="26"/>
                <w:szCs w:val="26"/>
              </w:rPr>
              <w:t xml:space="preserve">Экономия потребления электрической энергии муниципальными учреждениями и администрацией </w:t>
            </w:r>
            <w:r>
              <w:rPr>
                <w:rFonts w:cs="Times New Roman" w:ascii="Times New Roman" w:hAnsi="Times New Roman"/>
                <w:sz w:val="26"/>
                <w:szCs w:val="26"/>
              </w:rPr>
              <w:t>Калининского сельсовета</w:t>
            </w:r>
          </w:p>
        </w:tc>
        <w:tc>
          <w:tcPr>
            <w:tcW w:w="1418" w:type="dxa"/>
            <w:tcBorders>
              <w:left w:val="single" w:sz="4" w:space="0" w:color="000000"/>
              <w:bottom w:val="single" w:sz="4" w:space="0" w:color="000000"/>
              <w:right w:val="single" w:sz="4" w:space="0" w:color="000000"/>
            </w:tcBorders>
          </w:tcPr>
          <w:p>
            <w:pPr>
              <w:pStyle w:val="Normal"/>
              <w:widowControl w:val="false"/>
              <w:jc w:val="center"/>
              <w:rPr>
                <w:sz w:val="26"/>
                <w:szCs w:val="26"/>
                <w:highlight w:val="yellow"/>
              </w:rPr>
            </w:pPr>
            <w:r>
              <w:rPr>
                <w:sz w:val="26"/>
                <w:szCs w:val="26"/>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18"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3,2</w:t>
            </w:r>
          </w:p>
        </w:tc>
        <w:tc>
          <w:tcPr>
            <w:tcW w:w="1135"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3969" w:type="dxa"/>
            <w:tcBorders>
              <w:left w:val="single" w:sz="4" w:space="0" w:color="000000"/>
              <w:bottom w:val="single" w:sz="4" w:space="0" w:color="000000"/>
              <w:right w:val="single" w:sz="4" w:space="0" w:color="000000"/>
            </w:tcBorders>
          </w:tcPr>
          <w:p>
            <w:pPr>
              <w:pStyle w:val="Style29"/>
              <w:widowControl w:val="false"/>
              <w:tabs>
                <w:tab w:val="clear" w:pos="708"/>
                <w:tab w:val="left" w:pos="1440" w:leader="none"/>
              </w:tabs>
              <w:snapToGrid w:val="false"/>
              <w:spacing w:lineRule="auto" w:line="276"/>
              <w:ind w:right="87" w:hanging="0"/>
              <w:rPr>
                <w:sz w:val="26"/>
                <w:szCs w:val="26"/>
              </w:rPr>
            </w:pPr>
            <w:r>
              <w:rPr>
                <w:rFonts w:eastAsia="Times New Roman"/>
                <w:sz w:val="26"/>
                <w:szCs w:val="26"/>
              </w:rPr>
              <w:t xml:space="preserve">Экономия потребления тепловой энергии муниципальными учреждениями и органами местного самоуправления </w:t>
            </w:r>
            <w:r>
              <w:rPr>
                <w:sz w:val="26"/>
                <w:szCs w:val="26"/>
              </w:rPr>
              <w:t xml:space="preserve">Калининского сельсовета   </w:t>
            </w:r>
          </w:p>
        </w:tc>
        <w:tc>
          <w:tcPr>
            <w:tcW w:w="1418" w:type="dxa"/>
            <w:tcBorders>
              <w:left w:val="single" w:sz="4" w:space="0" w:color="000000"/>
              <w:bottom w:val="single" w:sz="4" w:space="0" w:color="000000"/>
              <w:right w:val="single" w:sz="4" w:space="0" w:color="000000"/>
            </w:tcBorders>
          </w:tcPr>
          <w:p>
            <w:pPr>
              <w:pStyle w:val="Normal"/>
              <w:widowControl w:val="false"/>
              <w:jc w:val="center"/>
              <w:rPr>
                <w:sz w:val="26"/>
                <w:szCs w:val="26"/>
                <w:highlight w:val="yellow"/>
              </w:rPr>
            </w:pPr>
            <w:r>
              <w:rPr>
                <w:sz w:val="26"/>
                <w:szCs w:val="26"/>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18"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3,5</w:t>
            </w:r>
          </w:p>
        </w:tc>
        <w:tc>
          <w:tcPr>
            <w:tcW w:w="1135"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highlight w:val="yellow"/>
              </w:rPr>
            </w:pPr>
            <w:r>
              <w:rPr>
                <w:rFonts w:cs="Times New Roman" w:ascii="Times New Roman" w:hAnsi="Times New Roman"/>
                <w:sz w:val="26"/>
                <w:szCs w:val="26"/>
              </w:rPr>
              <w:t>+1</w:t>
            </w:r>
          </w:p>
        </w:tc>
      </w:tr>
      <w:tr>
        <w:trPr/>
        <w:tc>
          <w:tcPr>
            <w:tcW w:w="396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98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18"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135"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396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55"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Программе присвоен  высший уровень эффективности. Итоговая сводная оценка  программы за 2023 год -  100%.</w:t>
            </w:r>
          </w:p>
        </w:tc>
      </w:tr>
    </w:tbl>
    <w:p>
      <w:pPr>
        <w:pStyle w:val="ListParagraph"/>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r>
    </w:p>
    <w:p>
      <w:pPr>
        <w:pStyle w:val="Normal"/>
        <w:ind w:firstLine="709"/>
        <w:jc w:val="center"/>
        <w:rPr>
          <w:b/>
          <w:b/>
          <w:sz w:val="26"/>
          <w:szCs w:val="26"/>
        </w:rPr>
      </w:pPr>
      <w:r>
        <w:rPr>
          <w:b/>
          <w:sz w:val="26"/>
          <w:szCs w:val="26"/>
        </w:rPr>
      </w:r>
    </w:p>
    <w:p>
      <w:pPr>
        <w:pStyle w:val="ListParagraph"/>
        <w:tabs>
          <w:tab w:val="clear" w:pos="708"/>
          <w:tab w:val="left" w:pos="4185" w:leader="none"/>
        </w:tabs>
        <w:spacing w:lineRule="atLeast" w:line="240" w:before="0" w:after="0"/>
        <w:ind w:left="0" w:hanging="0"/>
        <w:contextualSpacing/>
        <w:jc w:val="center"/>
        <w:rPr>
          <w:rFonts w:ascii="Times New Roman" w:hAnsi="Times New Roman"/>
          <w:b/>
          <w:b/>
          <w:sz w:val="26"/>
          <w:szCs w:val="26"/>
          <w:u w:val="single"/>
        </w:rPr>
      </w:pPr>
      <w:r>
        <w:rPr>
          <w:rFonts w:ascii="Times New Roman" w:hAnsi="Times New Roman"/>
          <w:b/>
          <w:sz w:val="26"/>
          <w:szCs w:val="26"/>
          <w:u w:val="single"/>
        </w:rPr>
        <w:t>7. МП «Культура Калининского сельсовета»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p>
      <w:pPr>
        <w:pStyle w:val="ConsPlusNormal"/>
        <w:spacing w:lineRule="atLeast" w:line="240"/>
        <w:jc w:val="center"/>
        <w:rPr>
          <w:rFonts w:ascii="Times New Roman" w:hAnsi="Times New Roman" w:cs="Times New Roman"/>
          <w:i/>
          <w:i/>
          <w:sz w:val="26"/>
          <w:szCs w:val="26"/>
          <w:u w:val="single"/>
        </w:rPr>
      </w:pPr>
      <w:r>
        <w:rPr>
          <w:rFonts w:cs="Times New Roman" w:ascii="Times New Roman" w:hAnsi="Times New Roman"/>
          <w:b/>
          <w:i/>
          <w:sz w:val="26"/>
          <w:szCs w:val="26"/>
          <w:u w:val="single"/>
        </w:rPr>
        <w:t>7.1.Подпрограмма «Развитие культурного потенциала Калининского сельсовета»</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r>
    </w:p>
    <w:tbl>
      <w:tblPr>
        <w:tblW w:w="10356" w:type="dxa"/>
        <w:jc w:val="left"/>
        <w:tblInd w:w="-351" w:type="dxa"/>
        <w:tblLayout w:type="fixed"/>
        <w:tblCellMar>
          <w:top w:w="0" w:type="dxa"/>
          <w:left w:w="75" w:type="dxa"/>
          <w:bottom w:w="0" w:type="dxa"/>
          <w:right w:w="75" w:type="dxa"/>
        </w:tblCellMar>
        <w:tblLook w:val="04a0"/>
      </w:tblPr>
      <w:tblGrid>
        <w:gridCol w:w="4393"/>
        <w:gridCol w:w="1320"/>
        <w:gridCol w:w="2243"/>
        <w:gridCol w:w="1439"/>
        <w:gridCol w:w="961"/>
      </w:tblGrid>
      <w:tr>
        <w:trPr>
          <w:trHeight w:val="400" w:hRule="atLeast"/>
        </w:trPr>
        <w:tc>
          <w:tcPr>
            <w:tcW w:w="43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3"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3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393" w:type="dxa"/>
            <w:tcBorders>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Удовлетворенность населения качеством</w:t>
            </w:r>
          </w:p>
          <w:p>
            <w:pPr>
              <w:pStyle w:val="ConsPlusCell"/>
              <w:widowControl w:val="false"/>
              <w:rPr>
                <w:rFonts w:ascii="Times New Roman" w:hAnsi="Times New Roman" w:cs="Times New Roman"/>
                <w:sz w:val="26"/>
                <w:szCs w:val="26"/>
              </w:rPr>
            </w:pPr>
            <w:r>
              <w:rPr>
                <w:rFonts w:eastAsia="Times New Roman" w:cs="Times New Roman" w:ascii="Times New Roman" w:hAnsi="Times New Roman"/>
                <w:sz w:val="26"/>
                <w:szCs w:val="26"/>
                <w:lang w:eastAsia="ru-RU"/>
              </w:rPr>
              <w:t>предоставляемых  услуг в сфере культуры качеством культурного обслуживания</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70,2</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70,1</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Normal"/>
              <w:widowControl w:val="false"/>
              <w:spacing w:lineRule="auto" w:line="276"/>
              <w:rPr>
                <w:sz w:val="26"/>
                <w:szCs w:val="26"/>
              </w:rPr>
            </w:pPr>
            <w:r>
              <w:rPr>
                <w:sz w:val="26"/>
                <w:szCs w:val="26"/>
              </w:rPr>
              <w:t>Доля, занявших призовые места на конкурсах, смотрах и других творческих мероприятиях</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Доля учреждений, находящихся в удовлетворительном состоянии</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62,2</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32,5</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800" w:hRule="atLeast"/>
        </w:trPr>
        <w:tc>
          <w:tcPr>
            <w:tcW w:w="439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3"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подпрограммы за 2023 год - 100%.</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tabs>
          <w:tab w:val="clear" w:pos="708"/>
          <w:tab w:val="left" w:pos="4185" w:leader="none"/>
        </w:tabs>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8. МП «Развитие мер соцподдержки отдельных категорий граждан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356" w:type="dxa"/>
        <w:jc w:val="left"/>
        <w:tblInd w:w="-351" w:type="dxa"/>
        <w:tblLayout w:type="fixed"/>
        <w:tblCellMar>
          <w:top w:w="0" w:type="dxa"/>
          <w:left w:w="75" w:type="dxa"/>
          <w:bottom w:w="0" w:type="dxa"/>
          <w:right w:w="75" w:type="dxa"/>
        </w:tblCellMar>
        <w:tblLook w:val="04a0"/>
      </w:tblPr>
      <w:tblGrid>
        <w:gridCol w:w="4393"/>
        <w:gridCol w:w="1320"/>
        <w:gridCol w:w="2243"/>
        <w:gridCol w:w="1439"/>
        <w:gridCol w:w="961"/>
      </w:tblGrid>
      <w:tr>
        <w:trPr>
          <w:trHeight w:val="400" w:hRule="atLeast"/>
        </w:trPr>
        <w:tc>
          <w:tcPr>
            <w:tcW w:w="4393"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0"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3"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1210" w:hRule="atLeast"/>
        </w:trPr>
        <w:tc>
          <w:tcPr>
            <w:tcW w:w="43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39"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rHeight w:val="679" w:hRule="atLeast"/>
        </w:trPr>
        <w:tc>
          <w:tcPr>
            <w:tcW w:w="4393" w:type="dxa"/>
            <w:tcBorders>
              <w:left w:val="single" w:sz="4" w:space="0" w:color="000000"/>
              <w:bottom w:val="single" w:sz="4" w:space="0" w:color="000000"/>
              <w:right w:val="single" w:sz="4" w:space="0" w:color="000000"/>
            </w:tcBorders>
          </w:tcPr>
          <w:p>
            <w:pPr>
              <w:pStyle w:val="Normal"/>
              <w:widowControl w:val="false"/>
              <w:rPr>
                <w:sz w:val="26"/>
                <w:szCs w:val="26"/>
              </w:rPr>
            </w:pPr>
            <w:r>
              <w:rPr>
                <w:sz w:val="26"/>
                <w:szCs w:val="26"/>
              </w:rPr>
              <w:t>Социальные доплаты к пенсиям</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Тыс. руб.</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1372,7</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1367,3</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-осуществление комплекса мероприятий, направленных на социальную поддержку уровня жизни малообеспеченных семей, малообеспеченных одиноко проживающих граждан, инвалидов, пенсионеров и детей, оказавшихся в трудной жизненной ситуации, а также отдельных категорий населения, нуждающихся в социальной защите;</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единиц</w:t>
            </w:r>
          </w:p>
          <w:p>
            <w:pPr>
              <w:pStyle w:val="Normal"/>
              <w:widowControl w:val="false"/>
              <w:jc w:val="center"/>
              <w:rPr>
                <w:sz w:val="26"/>
                <w:szCs w:val="26"/>
              </w:rPr>
            </w:pPr>
            <w:r>
              <w:rPr>
                <w:sz w:val="26"/>
                <w:szCs w:val="26"/>
              </w:rPr>
              <w:t>(не менее)</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2</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1</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Normal"/>
              <w:widowControl w:val="false"/>
              <w:rPr>
                <w:sz w:val="26"/>
                <w:szCs w:val="26"/>
                <w:highlight w:val="yellow"/>
              </w:rPr>
            </w:pPr>
            <w:r>
              <w:rPr>
                <w:sz w:val="26"/>
                <w:szCs w:val="26"/>
              </w:rPr>
              <w:t>преодоление критических жизненных ситуаций, вызываемых неблагоприятными экономическими и социальными условиями</w:t>
            </w:r>
          </w:p>
        </w:tc>
        <w:tc>
          <w:tcPr>
            <w:tcW w:w="1320"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единиц</w:t>
            </w:r>
          </w:p>
          <w:p>
            <w:pPr>
              <w:pStyle w:val="Normal"/>
              <w:widowControl w:val="false"/>
              <w:jc w:val="center"/>
              <w:rPr>
                <w:sz w:val="26"/>
                <w:szCs w:val="26"/>
                <w:highlight w:val="yellow"/>
              </w:rPr>
            </w:pPr>
            <w:r>
              <w:rPr>
                <w:sz w:val="26"/>
                <w:szCs w:val="26"/>
              </w:rPr>
              <w:t>(не менее)</w:t>
            </w:r>
          </w:p>
        </w:tc>
        <w:tc>
          <w:tcPr>
            <w:tcW w:w="2243"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3</w:t>
            </w:r>
          </w:p>
        </w:tc>
        <w:tc>
          <w:tcPr>
            <w:tcW w:w="14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w:t>
            </w:r>
          </w:p>
        </w:tc>
        <w:tc>
          <w:tcPr>
            <w:tcW w:w="961"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393"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3"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39"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1"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+3</w:t>
            </w:r>
          </w:p>
        </w:tc>
      </w:tr>
      <w:tr>
        <w:trPr>
          <w:trHeight w:val="800" w:hRule="atLeast"/>
        </w:trPr>
        <w:tc>
          <w:tcPr>
            <w:tcW w:w="4393"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3" w:type="dxa"/>
            <w:gridSpan w:val="4"/>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highlight w:val="yellow"/>
              </w:rPr>
            </w:pPr>
            <w:r>
              <w:rPr>
                <w:rFonts w:cs="Times New Roman" w:ascii="Times New Roman" w:hAnsi="Times New Roman"/>
                <w:sz w:val="26"/>
                <w:szCs w:val="26"/>
              </w:rPr>
              <w:t>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2023 год -  100%.</w:t>
            </w:r>
          </w:p>
        </w:tc>
      </w:tr>
    </w:tbl>
    <w:p>
      <w:pPr>
        <w:pStyle w:val="Normal"/>
        <w:tabs>
          <w:tab w:val="clear" w:pos="708"/>
          <w:tab w:val="left" w:pos="4185" w:leader="none"/>
        </w:tabs>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9. МП «Развитие физической культуры и спорта в Калининском сельсовете»</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удельный вес населения Калининского сельсовета, систематически занимающегося физической культурой и спортом(%)</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60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100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удельный вес населения с ограниченными возможностями здоровья, занимающегося физической культурой и спортом, в общей численности данной категории(%)</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5</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5</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количество участников спортивно-оздоровительных мероприятий (чел)</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чел.</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2500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2350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rPr>
                <w:color w:val="000000"/>
                <w:sz w:val="26"/>
                <w:szCs w:val="26"/>
              </w:rPr>
            </w:pPr>
            <w:r>
              <w:rPr>
                <w:color w:val="000000"/>
                <w:sz w:val="26"/>
                <w:szCs w:val="26"/>
              </w:rPr>
              <w:t>- уровень фактической обеспеченности учреждениями физической культуры и спорта в Калининском сельсовете от нормальной потребности:</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r>
          </w:p>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eastAsia="Times New Roman" w:cs="Times New Roman" w:ascii="Times New Roman" w:hAnsi="Times New Roman"/>
                <w:color w:val="000000"/>
                <w:sz w:val="26"/>
                <w:szCs w:val="26"/>
                <w:lang w:eastAsia="ru-RU"/>
              </w:rPr>
              <w:t>- спортивными залами и плоскостными сооружениями</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50</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+5</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2023 год -  100%.</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widowControl w:val="false"/>
        <w:jc w:val="center"/>
        <w:rPr>
          <w:b/>
          <w:b/>
          <w:sz w:val="26"/>
          <w:szCs w:val="26"/>
          <w:u w:val="single"/>
        </w:rPr>
      </w:pPr>
      <w:r>
        <w:rPr>
          <w:b/>
          <w:sz w:val="26"/>
          <w:szCs w:val="26"/>
          <w:u w:val="single"/>
        </w:rPr>
      </w:r>
    </w:p>
    <w:p>
      <w:pPr>
        <w:pStyle w:val="Normal"/>
        <w:widowControl w:val="false"/>
        <w:jc w:val="center"/>
        <w:rPr>
          <w:b/>
          <w:b/>
          <w:sz w:val="26"/>
          <w:szCs w:val="26"/>
          <w:u w:val="single"/>
        </w:rPr>
      </w:pPr>
      <w:r>
        <w:rPr>
          <w:b/>
          <w:sz w:val="26"/>
          <w:szCs w:val="26"/>
          <w:u w:val="single"/>
        </w:rPr>
        <w:t>10. МП «</w:t>
      </w:r>
      <w:r>
        <w:rPr>
          <w:b/>
          <w:bCs/>
          <w:color w:val="000000"/>
          <w:sz w:val="28"/>
          <w:szCs w:val="28"/>
          <w:u w:val="single"/>
        </w:rPr>
        <w:t>Программа «Комплексное развитие сельской территории</w:t>
      </w:r>
      <w:r>
        <w:rPr>
          <w:b/>
          <w:bCs/>
          <w:color w:val="000000"/>
          <w:sz w:val="28"/>
          <w:szCs w:val="28"/>
        </w:rPr>
        <w:t xml:space="preserve"> </w:t>
      </w:r>
      <w:r>
        <w:rPr>
          <w:b/>
          <w:bCs/>
          <w:color w:val="000000"/>
          <w:sz w:val="28"/>
          <w:szCs w:val="28"/>
          <w:u w:val="single"/>
        </w:rPr>
        <w:t>Калининского сельсовета»</w:t>
      </w:r>
      <w:r>
        <w:rPr>
          <w:b/>
          <w:sz w:val="26"/>
          <w:szCs w:val="26"/>
          <w:u w:val="single"/>
        </w:rPr>
        <w:t>»</w:t>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c>
          <w:tcPr>
            <w:tcW w:w="4112" w:type="dxa"/>
            <w:tcBorders>
              <w:left w:val="single" w:sz="4" w:space="0" w:color="000000"/>
              <w:bottom w:val="single" w:sz="4" w:space="0" w:color="000000"/>
              <w:right w:val="single" w:sz="4" w:space="0" w:color="000000"/>
            </w:tcBorders>
          </w:tcPr>
          <w:p>
            <w:pPr>
              <w:pStyle w:val="Normal"/>
              <w:widowControl w:val="false"/>
              <w:numPr>
                <w:ilvl w:val="0"/>
                <w:numId w:val="3"/>
              </w:numPr>
              <w:spacing w:before="0" w:after="0"/>
              <w:ind w:left="39" w:hanging="758"/>
              <w:contextualSpacing/>
              <w:jc w:val="both"/>
              <w:rPr/>
            </w:pPr>
            <w:r>
              <w:rPr/>
              <w:t>Развитие транспортной инфраструктуры на сельских территориях</w:t>
            </w:r>
          </w:p>
          <w:p>
            <w:pPr>
              <w:pStyle w:val="Normal"/>
              <w:widowControl w:val="false"/>
              <w:numPr>
                <w:ilvl w:val="0"/>
                <w:numId w:val="3"/>
              </w:numPr>
              <w:spacing w:before="0" w:after="0"/>
              <w:ind w:left="39" w:hanging="758"/>
              <w:contextualSpacing/>
              <w:jc w:val="both"/>
              <w:rPr/>
            </w:pPr>
            <w:r>
              <w:rPr/>
              <w:t>Выполнение работ по ремонту автомобильных дорог  общего пользования местного значения по ул. Новая, ул. Цветочная, ул. Мира, ул. Дружбы Народов, ул. Белых Облаков, ул. Абаканская                          в с. Калинино Калининского сельсовета Усть-Абаканского района</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тыс.руб.</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41 902,2</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rPr>
            </w:pPr>
            <w:r>
              <w:rPr>
                <w:bCs/>
                <w:sz w:val="26"/>
                <w:szCs w:val="26"/>
              </w:rPr>
              <w:t>35 086,8</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Normal"/>
              <w:widowControl w:val="false"/>
              <w:numPr>
                <w:ilvl w:val="0"/>
                <w:numId w:val="3"/>
              </w:numPr>
              <w:spacing w:before="0" w:after="0"/>
              <w:ind w:left="39" w:hanging="758"/>
              <w:contextualSpacing/>
              <w:jc w:val="both"/>
              <w:rPr>
                <w:rFonts w:eastAsia="Calibri"/>
                <w:b/>
                <w:b/>
                <w:bCs/>
              </w:rPr>
            </w:pPr>
            <w:r>
              <w:rPr/>
              <w:t xml:space="preserve">обеспечение объема ввода в эксплуатацию автомобильных дорог </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sz w:val="26"/>
                <w:szCs w:val="26"/>
                <w:highlight w:val="yellow"/>
              </w:rPr>
            </w:pPr>
            <w:r>
              <w:rPr>
                <w:sz w:val="26"/>
                <w:szCs w:val="26"/>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sz w:val="26"/>
                <w:szCs w:val="26"/>
                <w:highlight w:val="yellow"/>
              </w:rPr>
            </w:pPr>
            <w:r>
              <w:rPr>
                <w:bCs/>
                <w:sz w:val="26"/>
                <w:szCs w:val="26"/>
              </w:rPr>
              <w:t>100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+2</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Подпрограмме присвоен  высший уровень эффективности.</w:t>
            </w:r>
            <w:r>
              <w:rPr>
                <w:rFonts w:cs="Times New Roman" w:ascii="Times New Roman" w:hAnsi="Times New Roman"/>
                <w:b/>
                <w:sz w:val="26"/>
                <w:szCs w:val="26"/>
              </w:rPr>
              <w:t xml:space="preserve"> </w:t>
            </w:r>
            <w:r>
              <w:rPr>
                <w:rFonts w:cs="Times New Roman" w:ascii="Times New Roman" w:hAnsi="Times New Roman"/>
                <w:sz w:val="26"/>
                <w:szCs w:val="26"/>
              </w:rPr>
              <w:t>Итоговая сводная оценка  программы за 2023 год -  100%, по итогам электронного аукциона произошло снижение цены.</w:t>
            </w:r>
          </w:p>
          <w:p>
            <w:pPr>
              <w:pStyle w:val="ConsPlusCell"/>
              <w:widowControl w:val="false"/>
              <w:rPr>
                <w:rFonts w:ascii="Times New Roman" w:hAnsi="Times New Roman" w:cs="Times New Roman"/>
                <w:sz w:val="26"/>
                <w:szCs w:val="26"/>
              </w:rPr>
            </w:pPr>
            <w:r>
              <w:rPr>
                <w:rFonts w:cs="Times New Roman" w:ascii="Times New Roman" w:hAnsi="Times New Roman"/>
                <w:sz w:val="26"/>
                <w:szCs w:val="26"/>
              </w:rPr>
            </w:r>
          </w:p>
        </w:tc>
      </w:tr>
    </w:tbl>
    <w:p>
      <w:pPr>
        <w:pStyle w:val="Normal"/>
        <w:tabs>
          <w:tab w:val="clear" w:pos="708"/>
          <w:tab w:val="left" w:pos="8136" w:leader="none"/>
        </w:tabs>
        <w:jc w:val="right"/>
        <w:rPr>
          <w:sz w:val="26"/>
          <w:szCs w:val="26"/>
          <w:lang w:eastAsia="en-US"/>
        </w:rPr>
      </w:pPr>
      <w:r>
        <w:rPr>
          <w:sz w:val="26"/>
          <w:szCs w:val="26"/>
          <w:lang w:eastAsia="en-US"/>
        </w:rPr>
      </w:r>
    </w:p>
    <w:p>
      <w:pPr>
        <w:pStyle w:val="Normal"/>
        <w:tabs>
          <w:tab w:val="clear" w:pos="708"/>
          <w:tab w:val="left" w:pos="8136" w:leader="none"/>
        </w:tabs>
        <w:jc w:val="right"/>
        <w:rPr>
          <w:sz w:val="26"/>
          <w:szCs w:val="26"/>
          <w:lang w:eastAsia="en-US"/>
        </w:rPr>
      </w:pPr>
      <w:r>
        <w:rPr>
          <w:sz w:val="26"/>
          <w:szCs w:val="26"/>
          <w:lang w:eastAsia="en-US"/>
        </w:rPr>
      </w:r>
    </w:p>
    <w:p>
      <w:pPr>
        <w:pStyle w:val="Normal"/>
        <w:jc w:val="center"/>
        <w:rPr>
          <w:b/>
          <w:b/>
          <w:bCs/>
          <w:iCs/>
          <w:sz w:val="26"/>
          <w:szCs w:val="26"/>
          <w:u w:val="single"/>
        </w:rPr>
      </w:pPr>
      <w:r>
        <w:rPr>
          <w:b/>
          <w:sz w:val="26"/>
          <w:szCs w:val="26"/>
          <w:u w:val="single"/>
        </w:rPr>
        <w:t xml:space="preserve">11. МП </w:t>
      </w:r>
      <w:r>
        <w:rPr>
          <w:b/>
          <w:bCs/>
          <w:color w:val="000000"/>
          <w:sz w:val="28"/>
          <w:szCs w:val="28"/>
          <w:u w:val="single"/>
        </w:rPr>
        <w:t xml:space="preserve"> </w:t>
      </w:r>
      <w:r>
        <w:rPr>
          <w:b/>
          <w:bCs/>
          <w:iCs/>
          <w:sz w:val="26"/>
          <w:szCs w:val="26"/>
          <w:u w:val="single"/>
        </w:rPr>
        <w:t>«Профилактика терроризма и экстремизма на территории МО Калининский сельсовет»</w:t>
      </w:r>
    </w:p>
    <w:p>
      <w:pPr>
        <w:pStyle w:val="Normal"/>
        <w:widowControl w:val="false"/>
        <w:rPr>
          <w:b/>
          <w:b/>
          <w:sz w:val="26"/>
          <w:szCs w:val="26"/>
          <w:u w:val="single"/>
        </w:rPr>
      </w:pPr>
      <w:r>
        <w:rPr>
          <w:b/>
          <w:sz w:val="26"/>
          <w:szCs w:val="26"/>
          <w:u w:val="single"/>
        </w:rPr>
      </w:r>
    </w:p>
    <w:p>
      <w:pPr>
        <w:pStyle w:val="ConsPlusNormal"/>
        <w:spacing w:lineRule="atLeast" w:line="240"/>
        <w:jc w:val="center"/>
        <w:rPr>
          <w:rFonts w:ascii="Times New Roman" w:hAnsi="Times New Roman" w:cs="Times New Roman"/>
          <w:sz w:val="26"/>
          <w:szCs w:val="26"/>
        </w:rPr>
      </w:pPr>
      <w:r>
        <w:rPr>
          <w:rFonts w:cs="Times New Roman" w:ascii="Times New Roman" w:hAnsi="Times New Roman"/>
          <w:sz w:val="26"/>
          <w:szCs w:val="26"/>
        </w:rPr>
        <w:t>(наименование муниципальной программы, годы ее реализации, исполнитель)</w:t>
      </w:r>
    </w:p>
    <w:tbl>
      <w:tblPr>
        <w:tblW w:w="10080" w:type="dxa"/>
        <w:jc w:val="left"/>
        <w:tblInd w:w="75" w:type="dxa"/>
        <w:tblLayout w:type="fixed"/>
        <w:tblCellMar>
          <w:top w:w="0" w:type="dxa"/>
          <w:left w:w="75" w:type="dxa"/>
          <w:bottom w:w="0" w:type="dxa"/>
          <w:right w:w="75" w:type="dxa"/>
        </w:tblCellMar>
        <w:tblLook w:val="04a0"/>
      </w:tblPr>
      <w:tblGrid>
        <w:gridCol w:w="4112"/>
        <w:gridCol w:w="1322"/>
        <w:gridCol w:w="2244"/>
        <w:gridCol w:w="1442"/>
        <w:gridCol w:w="960"/>
      </w:tblGrid>
      <w:tr>
        <w:trPr>
          <w:trHeight w:val="400" w:hRule="atLeast"/>
        </w:trPr>
        <w:tc>
          <w:tcPr>
            <w:tcW w:w="411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Наименование       </w:t>
              <w:br/>
              <w:t xml:space="preserve">       показателя        </w:t>
            </w:r>
          </w:p>
        </w:tc>
        <w:tc>
          <w:tcPr>
            <w:tcW w:w="1322" w:type="dxa"/>
            <w:vMerge w:val="restart"/>
            <w:tcBorders>
              <w:top w:val="single" w:sz="4" w:space="0" w:color="000000"/>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Единица </w:t>
              <w:br/>
              <w:t>измерения</w:t>
            </w:r>
          </w:p>
        </w:tc>
        <w:tc>
          <w:tcPr>
            <w:tcW w:w="4646" w:type="dxa"/>
            <w:gridSpan w:val="3"/>
            <w:tcBorders>
              <w:top w:val="single" w:sz="4" w:space="0" w:color="000000"/>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Значение целевого показателя</w:t>
            </w:r>
          </w:p>
        </w:tc>
      </w:tr>
      <w:tr>
        <w:trPr>
          <w:trHeight w:val="800" w:hRule="atLeast"/>
        </w:trPr>
        <w:tc>
          <w:tcPr>
            <w:tcW w:w="41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rFonts w:eastAsia="Calibri"/>
                <w:sz w:val="26"/>
                <w:szCs w:val="26"/>
                <w:lang w:eastAsia="en-US"/>
              </w:rPr>
            </w:r>
          </w:p>
        </w:tc>
        <w:tc>
          <w:tcPr>
            <w:tcW w:w="2244"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6"/>
                <w:szCs w:val="26"/>
              </w:rPr>
            </w:pPr>
            <w:r>
              <w:rPr>
                <w:rFonts w:cs="Times New Roman" w:ascii="Times New Roman" w:hAnsi="Times New Roman"/>
                <w:sz w:val="26"/>
                <w:szCs w:val="26"/>
              </w:rPr>
              <w:t xml:space="preserve">утверждено в    </w:t>
              <w:br/>
              <w:t xml:space="preserve">муниципальной     программе  Калининского сельсовета   </w:t>
            </w:r>
          </w:p>
        </w:tc>
        <w:tc>
          <w:tcPr>
            <w:tcW w:w="144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6"/>
                <w:szCs w:val="26"/>
              </w:rPr>
            </w:pPr>
            <w:r>
              <w:rPr>
                <w:rFonts w:cs="Times New Roman" w:ascii="Times New Roman" w:hAnsi="Times New Roman"/>
                <w:sz w:val="26"/>
                <w:szCs w:val="26"/>
              </w:rPr>
              <w:t>достигнуто</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6"/>
                <w:szCs w:val="26"/>
              </w:rPr>
            </w:pPr>
            <w:r>
              <w:rPr>
                <w:rFonts w:cs="Times New Roman" w:ascii="Times New Roman" w:hAnsi="Times New Roman"/>
                <w:sz w:val="26"/>
                <w:szCs w:val="26"/>
              </w:rPr>
              <w:t>оценка</w:t>
              <w:br/>
              <w:t xml:space="preserve">  в   </w:t>
              <w:br/>
              <w:t>баллах</w:t>
            </w:r>
          </w:p>
        </w:tc>
      </w:tr>
      <w:tr>
        <w:trPr>
          <w:trHeight w:val="352" w:hRule="atLeast"/>
        </w:trPr>
        <w:tc>
          <w:tcPr>
            <w:tcW w:w="4112" w:type="dxa"/>
            <w:tcBorders>
              <w:left w:val="single" w:sz="4" w:space="0" w:color="000000"/>
              <w:bottom w:val="single" w:sz="4" w:space="0" w:color="000000"/>
              <w:right w:val="single" w:sz="4" w:space="0" w:color="000000"/>
            </w:tcBorders>
          </w:tcPr>
          <w:p>
            <w:pPr>
              <w:pStyle w:val="Normal"/>
              <w:widowControl w:val="false"/>
              <w:numPr>
                <w:ilvl w:val="0"/>
                <w:numId w:val="3"/>
              </w:numPr>
              <w:spacing w:before="0" w:after="0"/>
              <w:ind w:left="39" w:hanging="758"/>
              <w:contextualSpacing/>
              <w:jc w:val="both"/>
              <w:rPr/>
            </w:pPr>
            <w:r>
              <w:rPr/>
              <w:t>Проведение         «круглых столов»</w:t>
            </w:r>
          </w:p>
        </w:tc>
        <w:tc>
          <w:tcPr>
            <w:tcW w:w="1322" w:type="dxa"/>
            <w:tcBorders>
              <w:left w:val="single" w:sz="4" w:space="0" w:color="000000"/>
              <w:bottom w:val="single" w:sz="4" w:space="0" w:color="000000"/>
              <w:right w:val="single" w:sz="4" w:space="0" w:color="000000"/>
            </w:tcBorders>
            <w:vAlign w:val="center"/>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rPr>
            </w:pPr>
            <w:r>
              <w:rPr>
                <w:bCs/>
              </w:rPr>
              <w:t>1</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rHeight w:val="1122" w:hRule="atLeast"/>
        </w:trPr>
        <w:tc>
          <w:tcPr>
            <w:tcW w:w="4112" w:type="dxa"/>
            <w:tcBorders>
              <w:left w:val="single" w:sz="4" w:space="0" w:color="000000"/>
              <w:bottom w:val="single" w:sz="4" w:space="0" w:color="000000"/>
              <w:right w:val="single" w:sz="4" w:space="0" w:color="000000"/>
            </w:tcBorders>
          </w:tcPr>
          <w:p>
            <w:pPr>
              <w:pStyle w:val="Normal"/>
              <w:widowControl w:val="false"/>
              <w:shd w:val="clear" w:color="auto" w:fill="FFFFFF"/>
              <w:ind w:right="10" w:hanging="0"/>
              <w:rPr/>
            </w:pPr>
            <w:r>
              <w:rPr/>
              <w:t>Информирование населения о профилактике терроризма и экстремизма через       СМИ,  информирование населения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vAlign w:val="center"/>
          </w:tcPr>
          <w:p>
            <w:pPr>
              <w:pStyle w:val="Normal"/>
              <w:widowControl w:val="false"/>
              <w:jc w:val="center"/>
              <w:rPr>
                <w:highlight w:val="yellow"/>
              </w:rPr>
            </w:pPr>
            <w:r>
              <w:rPr/>
              <w:t>100</w:t>
            </w:r>
          </w:p>
        </w:tc>
        <w:tc>
          <w:tcPr>
            <w:tcW w:w="1442"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628" w:leader="none"/>
              </w:tabs>
              <w:jc w:val="center"/>
              <w:rPr>
                <w:bCs/>
                <w:highlight w:val="yellow"/>
              </w:rPr>
            </w:pPr>
            <w:r>
              <w:rPr>
                <w:bCs/>
              </w:rPr>
              <w:t>100</w:t>
            </w:r>
          </w:p>
        </w:tc>
        <w:tc>
          <w:tcPr>
            <w:tcW w:w="960" w:type="dxa"/>
            <w:tcBorders>
              <w:left w:val="single" w:sz="4" w:space="0" w:color="000000"/>
              <w:bottom w:val="single" w:sz="4" w:space="0" w:color="000000"/>
              <w:right w:val="single" w:sz="4" w:space="0" w:color="000000"/>
            </w:tcBorders>
            <w:vAlign w:val="center"/>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rHeight w:val="1979"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Проведение     лекций     и бесед           на   собраниях граждан, направленных на профилактику проявлений </w:t>
            </w:r>
            <w:r>
              <w:rPr>
                <w:rFonts w:cs="Times New Roman" w:ascii="Times New Roman" w:hAnsi="Times New Roman"/>
                <w:spacing w:val="-1"/>
                <w:sz w:val="24"/>
                <w:szCs w:val="24"/>
              </w:rPr>
              <w:t xml:space="preserve">экстремизма,   терроризма, </w:t>
            </w:r>
            <w:r>
              <w:rPr>
                <w:rFonts w:cs="Times New Roman" w:ascii="Times New Roman" w:hAnsi="Times New Roman"/>
                <w:sz w:val="24"/>
                <w:szCs w:val="24"/>
              </w:rPr>
              <w:t xml:space="preserve">преступлений          против </w:t>
            </w:r>
            <w:r>
              <w:rPr>
                <w:rFonts w:cs="Times New Roman" w:ascii="Times New Roman" w:hAnsi="Times New Roman"/>
                <w:spacing w:val="-1"/>
                <w:sz w:val="24"/>
                <w:szCs w:val="24"/>
              </w:rPr>
              <w:t xml:space="preserve">личности,            общества, </w:t>
            </w:r>
            <w:r>
              <w:rPr>
                <w:rFonts w:cs="Times New Roman" w:ascii="Times New Roman" w:hAnsi="Times New Roman"/>
                <w:sz w:val="24"/>
                <w:szCs w:val="24"/>
              </w:rPr>
              <w:t>государства</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12</w:t>
            </w:r>
          </w:p>
        </w:tc>
        <w:tc>
          <w:tcPr>
            <w:tcW w:w="960" w:type="dxa"/>
            <w:tcBorders>
              <w:left w:val="single" w:sz="4" w:space="0" w:color="000000"/>
              <w:bottom w:val="single" w:sz="4" w:space="0" w:color="000000"/>
              <w:right w:val="single" w:sz="4" w:space="0" w:color="000000"/>
            </w:tcBorders>
          </w:tcPr>
          <w:p>
            <w:pPr>
              <w:pStyle w:val="Normal"/>
              <w:widowControl w:val="false"/>
              <w:jc w:val="center"/>
              <w:rPr/>
            </w:pPr>
            <w:r>
              <w:rPr/>
              <w:t>+1</w:t>
            </w:r>
          </w:p>
        </w:tc>
      </w:tr>
      <w:tr>
        <w:trPr>
          <w:trHeight w:val="994"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Изготовление                   и распространение памяток, листовок среди населения, </w:t>
            </w:r>
            <w:r>
              <w:rPr>
                <w:rFonts w:cs="Times New Roman" w:ascii="Times New Roman" w:hAnsi="Times New Roman"/>
                <w:spacing w:val="-2"/>
                <w:sz w:val="24"/>
                <w:szCs w:val="24"/>
              </w:rPr>
              <w:t xml:space="preserve">обеспечение       наглядной </w:t>
            </w:r>
            <w:r>
              <w:rPr>
                <w:rFonts w:cs="Times New Roman" w:ascii="Times New Roman" w:hAnsi="Times New Roman"/>
                <w:sz w:val="24"/>
                <w:szCs w:val="24"/>
              </w:rPr>
              <w:t xml:space="preserve">агитацией    учреждения  с </w:t>
            </w:r>
            <w:r>
              <w:rPr>
                <w:rFonts w:cs="Times New Roman" w:ascii="Times New Roman" w:hAnsi="Times New Roman"/>
                <w:spacing w:val="-1"/>
                <w:sz w:val="24"/>
                <w:szCs w:val="24"/>
              </w:rPr>
              <w:t xml:space="preserve">массовым      пребыванием </w:t>
            </w:r>
            <w:r>
              <w:rPr>
                <w:rFonts w:cs="Times New Roman" w:ascii="Times New Roman" w:hAnsi="Times New Roman"/>
                <w:sz w:val="24"/>
                <w:szCs w:val="24"/>
              </w:rPr>
              <w:t>людей</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485</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438</w:t>
            </w:r>
          </w:p>
        </w:tc>
        <w:tc>
          <w:tcPr>
            <w:tcW w:w="960" w:type="dxa"/>
            <w:tcBorders>
              <w:left w:val="single" w:sz="4" w:space="0" w:color="000000"/>
              <w:bottom w:val="single" w:sz="4" w:space="0" w:color="000000"/>
              <w:right w:val="single" w:sz="4" w:space="0" w:color="000000"/>
            </w:tcBorders>
          </w:tcPr>
          <w:p>
            <w:pPr>
              <w:pStyle w:val="Normal"/>
              <w:widowControl w:val="false"/>
              <w:jc w:val="center"/>
              <w:rPr/>
            </w:pPr>
            <w:r>
              <w:rPr/>
              <w:t>+1</w:t>
            </w:r>
          </w:p>
        </w:tc>
      </w:tr>
      <w:tr>
        <w:trPr>
          <w:trHeight w:val="1743" w:hRule="atLeast"/>
        </w:trPr>
        <w:tc>
          <w:tcPr>
            <w:tcW w:w="4112" w:type="dxa"/>
            <w:tcBorders>
              <w:left w:val="single" w:sz="4" w:space="0" w:color="000000"/>
              <w:bottom w:val="single" w:sz="4" w:space="0" w:color="000000"/>
              <w:right w:val="single" w:sz="4" w:space="0" w:color="000000"/>
            </w:tcBorders>
          </w:tcPr>
          <w:p>
            <w:pPr>
              <w:pStyle w:val="Normal"/>
              <w:widowControl w:val="false"/>
              <w:shd w:val="clear" w:color="auto" w:fill="FFFFFF"/>
              <w:rPr>
                <w:rFonts w:eastAsia="" w:eastAsiaTheme="minorEastAsia"/>
              </w:rPr>
            </w:pPr>
            <w:r>
              <w:rPr/>
              <w:t>Проведение      рейдов   по обеспечению</w:t>
            </w:r>
          </w:p>
          <w:p>
            <w:pPr>
              <w:pStyle w:val="Normal"/>
              <w:widowControl w:val="false"/>
              <w:shd w:val="clear" w:color="auto" w:fill="FFFFFF"/>
              <w:rPr>
                <w:rFonts w:eastAsia="" w:eastAsiaTheme="minorEastAsia"/>
              </w:rPr>
            </w:pPr>
            <w:r>
              <w:rPr/>
              <w:t xml:space="preserve">правопорядка                   и профилактики терроризма </w:t>
            </w:r>
            <w:r>
              <w:rPr>
                <w:spacing w:val="-1"/>
              </w:rPr>
              <w:t xml:space="preserve">в местах массового отдыха </w:t>
            </w:r>
            <w:r>
              <w:rPr/>
              <w:t>и            на            объектах жизнеобеспечения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28</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28</w:t>
            </w:r>
          </w:p>
        </w:tc>
        <w:tc>
          <w:tcPr>
            <w:tcW w:w="960" w:type="dxa"/>
            <w:tcBorders>
              <w:left w:val="single" w:sz="4" w:space="0" w:color="000000"/>
              <w:bottom w:val="single" w:sz="4" w:space="0" w:color="000000"/>
              <w:right w:val="single" w:sz="4" w:space="0" w:color="000000"/>
            </w:tcBorders>
          </w:tcPr>
          <w:p>
            <w:pPr>
              <w:pStyle w:val="Normal"/>
              <w:widowControl w:val="false"/>
              <w:jc w:val="center"/>
              <w:rPr/>
            </w:pPr>
            <w:r>
              <w:rPr/>
              <w:t>+1</w:t>
            </w:r>
          </w:p>
        </w:tc>
      </w:tr>
      <w:tr>
        <w:trPr>
          <w:trHeight w:val="36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Проведение          учебных тренировок с персоналом учреждений культуры по вопросам предупреждения террористических актов и </w:t>
            </w:r>
            <w:r>
              <w:rPr>
                <w:rFonts w:cs="Times New Roman" w:ascii="Times New Roman" w:hAnsi="Times New Roman"/>
                <w:spacing w:val="-2"/>
                <w:sz w:val="24"/>
                <w:szCs w:val="24"/>
              </w:rPr>
              <w:t xml:space="preserve">правилам   поведения   при </w:t>
            </w:r>
            <w:r>
              <w:rPr>
                <w:rFonts w:cs="Times New Roman" w:ascii="Times New Roman" w:hAnsi="Times New Roman"/>
                <w:sz w:val="24"/>
                <w:szCs w:val="24"/>
              </w:rPr>
              <w:t>их возникновении</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960" w:type="dxa"/>
            <w:tcBorders>
              <w:left w:val="single" w:sz="4" w:space="0" w:color="000000"/>
              <w:bottom w:val="single" w:sz="4" w:space="0" w:color="000000"/>
              <w:right w:val="single" w:sz="4" w:space="0" w:color="000000"/>
            </w:tcBorders>
          </w:tcPr>
          <w:p>
            <w:pPr>
              <w:pStyle w:val="Normal"/>
              <w:widowControl w:val="false"/>
              <w:jc w:val="center"/>
              <w:rPr/>
            </w:pPr>
            <w:r>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pacing w:val="-2"/>
                <w:sz w:val="24"/>
                <w:szCs w:val="24"/>
              </w:rPr>
              <w:t xml:space="preserve">Проведение комплексных </w:t>
            </w:r>
            <w:r>
              <w:rPr>
                <w:rFonts w:cs="Times New Roman" w:ascii="Times New Roman" w:hAnsi="Times New Roman"/>
                <w:sz w:val="24"/>
                <w:szCs w:val="24"/>
              </w:rPr>
              <w:t xml:space="preserve">обследований потенциально опасных </w:t>
            </w:r>
            <w:r>
              <w:rPr>
                <w:rFonts w:cs="Times New Roman" w:ascii="Times New Roman" w:hAnsi="Times New Roman"/>
                <w:spacing w:val="-2"/>
                <w:sz w:val="24"/>
                <w:szCs w:val="24"/>
              </w:rPr>
              <w:t xml:space="preserve">объектов,   соцкультбыта, </w:t>
            </w:r>
            <w:r>
              <w:rPr>
                <w:rFonts w:cs="Times New Roman" w:ascii="Times New Roman" w:hAnsi="Times New Roman"/>
                <w:sz w:val="24"/>
                <w:szCs w:val="24"/>
              </w:rPr>
              <w:t>пустующих домов на территории сельского поселения</w:t>
            </w:r>
          </w:p>
        </w:tc>
        <w:tc>
          <w:tcPr>
            <w:tcW w:w="1322" w:type="dxa"/>
            <w:tcBorders>
              <w:left w:val="single" w:sz="4" w:space="0" w:color="000000"/>
              <w:bottom w:val="single" w:sz="4" w:space="0" w:color="000000"/>
              <w:right w:val="single" w:sz="4" w:space="0" w:color="000000"/>
            </w:tcBorders>
          </w:tcPr>
          <w:p>
            <w:pPr>
              <w:pStyle w:val="Normal"/>
              <w:widowControl w:val="false"/>
              <w:jc w:val="center"/>
              <w:rPr/>
            </w:pPr>
            <w:r>
              <w:rPr/>
              <w:t>Ед.</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24</w:t>
            </w:r>
          </w:p>
        </w:tc>
        <w:tc>
          <w:tcPr>
            <w:tcW w:w="960" w:type="dxa"/>
            <w:tcBorders>
              <w:left w:val="single" w:sz="4" w:space="0" w:color="000000"/>
              <w:bottom w:val="single" w:sz="4" w:space="0" w:color="000000"/>
              <w:right w:val="single" w:sz="4" w:space="0" w:color="000000"/>
            </w:tcBorders>
          </w:tcPr>
          <w:p>
            <w:pPr>
              <w:pStyle w:val="Normal"/>
              <w:widowControl w:val="false"/>
              <w:jc w:val="center"/>
              <w:rPr/>
            </w:pPr>
            <w:r>
              <w:rPr/>
              <w:t>+1</w:t>
            </w:r>
          </w:p>
        </w:tc>
      </w:tr>
      <w:tr>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Итоговая сводная оценка  </w:t>
            </w:r>
          </w:p>
        </w:tc>
        <w:tc>
          <w:tcPr>
            <w:tcW w:w="132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2244"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1442"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Х</w:t>
            </w:r>
          </w:p>
        </w:tc>
        <w:tc>
          <w:tcPr>
            <w:tcW w:w="960" w:type="dxa"/>
            <w:tcBorders>
              <w:left w:val="single" w:sz="4" w:space="0" w:color="000000"/>
              <w:bottom w:val="single" w:sz="4" w:space="0" w:color="000000"/>
              <w:right w:val="single" w:sz="4" w:space="0" w:color="000000"/>
            </w:tcBorders>
          </w:tcPr>
          <w:p>
            <w:pPr>
              <w:pStyle w:val="ConsPlusCell"/>
              <w:widowControl w:val="false"/>
              <w:jc w:val="center"/>
              <w:rPr>
                <w:rFonts w:ascii="Times New Roman" w:hAnsi="Times New Roman" w:cs="Times New Roman"/>
                <w:sz w:val="24"/>
                <w:szCs w:val="24"/>
                <w:highlight w:val="yellow"/>
              </w:rPr>
            </w:pPr>
            <w:r>
              <w:rPr>
                <w:rFonts w:cs="Times New Roman" w:ascii="Times New Roman" w:hAnsi="Times New Roman"/>
                <w:sz w:val="24"/>
                <w:szCs w:val="24"/>
              </w:rPr>
              <w:t>+7</w:t>
            </w:r>
          </w:p>
        </w:tc>
      </w:tr>
      <w:tr>
        <w:trPr>
          <w:trHeight w:val="800" w:hRule="atLeast"/>
        </w:trPr>
        <w:tc>
          <w:tcPr>
            <w:tcW w:w="4112" w:type="dxa"/>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 xml:space="preserve">Оценка эффективности     </w:t>
              <w:br/>
              <w:t>муниципальной программы</w:t>
              <w:br/>
              <w:t xml:space="preserve">по итоговой сводной      </w:t>
              <w:br/>
              <w:t xml:space="preserve">оценке, процентов        </w:t>
            </w:r>
          </w:p>
        </w:tc>
        <w:tc>
          <w:tcPr>
            <w:tcW w:w="5968" w:type="dxa"/>
            <w:gridSpan w:val="4"/>
            <w:tcBorders>
              <w:left w:val="single" w:sz="4" w:space="0" w:color="000000"/>
              <w:bottom w:val="single" w:sz="4" w:space="0" w:color="000000"/>
              <w:right w:val="single" w:sz="4" w:space="0" w:color="000000"/>
            </w:tcBorders>
          </w:tcPr>
          <w:p>
            <w:pPr>
              <w:pStyle w:val="ConsPlusCell"/>
              <w:widowControl w:val="false"/>
              <w:rPr>
                <w:rFonts w:ascii="Times New Roman" w:hAnsi="Times New Roman" w:cs="Times New Roman"/>
                <w:sz w:val="24"/>
                <w:szCs w:val="24"/>
              </w:rPr>
            </w:pPr>
            <w:r>
              <w:rPr>
                <w:rFonts w:cs="Times New Roman" w:ascii="Times New Roman" w:hAnsi="Times New Roman"/>
                <w:sz w:val="24"/>
                <w:szCs w:val="24"/>
              </w:rPr>
              <w:t>Подпрограмме присвоен  высший уровень эффективности.</w:t>
            </w:r>
            <w:r>
              <w:rPr>
                <w:rFonts w:cs="Times New Roman" w:ascii="Times New Roman" w:hAnsi="Times New Roman"/>
                <w:b/>
                <w:sz w:val="24"/>
                <w:szCs w:val="24"/>
              </w:rPr>
              <w:t xml:space="preserve"> </w:t>
            </w:r>
            <w:r>
              <w:rPr>
                <w:rFonts w:cs="Times New Roman" w:ascii="Times New Roman" w:hAnsi="Times New Roman"/>
                <w:sz w:val="24"/>
                <w:szCs w:val="24"/>
              </w:rPr>
              <w:t>Итоговая сводная оценка  программы за 2023 год -  100%.</w:t>
            </w:r>
          </w:p>
          <w:p>
            <w:pPr>
              <w:pStyle w:val="ConsPlusCell"/>
              <w:widowControl w:val="false"/>
              <w:rPr>
                <w:rFonts w:ascii="Times New Roman" w:hAnsi="Times New Roman" w:cs="Times New Roman"/>
                <w:sz w:val="24"/>
                <w:szCs w:val="24"/>
                <w:highlight w:val="yellow"/>
              </w:rPr>
            </w:pPr>
            <w:r>
              <w:rPr>
                <w:rFonts w:cs="Times New Roman" w:ascii="Times New Roman" w:hAnsi="Times New Roman"/>
                <w:sz w:val="24"/>
                <w:szCs w:val="24"/>
                <w:highlight w:val="yellow"/>
              </w:rPr>
            </w:r>
          </w:p>
        </w:tc>
      </w:tr>
    </w:tbl>
    <w:p>
      <w:pPr>
        <w:pStyle w:val="Normal"/>
        <w:tabs>
          <w:tab w:val="clear" w:pos="708"/>
          <w:tab w:val="left" w:pos="8136" w:leader="none"/>
        </w:tabs>
        <w:jc w:val="right"/>
        <w:rPr>
          <w:lang w:eastAsia="en-US"/>
        </w:rPr>
      </w:pPr>
      <w:r>
        <w:rPr>
          <w:lang w:eastAsia="en-US"/>
        </w:rPr>
      </w:r>
    </w:p>
    <w:p>
      <w:pPr>
        <w:pStyle w:val="Normal"/>
        <w:tabs>
          <w:tab w:val="clear" w:pos="708"/>
          <w:tab w:val="left" w:pos="8136" w:leader="none"/>
        </w:tabs>
        <w:jc w:val="right"/>
        <w:rPr>
          <w:sz w:val="26"/>
          <w:szCs w:val="26"/>
          <w:lang w:eastAsia="en-US"/>
        </w:rPr>
      </w:pPr>
      <w:r>
        <w:rPr/>
      </w:r>
    </w:p>
    <w:sectPr>
      <w:type w:val="nextPage"/>
      <w:pgSz w:w="11906" w:h="16838"/>
      <w:pgMar w:left="1701" w:right="709"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onsolas">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Hak">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2"/>
    <w:lvlOverride w:ilvl="0">
      <w:startOverride w:val="1"/>
    </w:lvlOverride>
  </w:num>
</w:numbering>
</file>

<file path=word/settings.xml><?xml version="1.0" encoding="utf-8"?>
<w:settings xmlns:w="http://schemas.openxmlformats.org/wordprocessingml/2006/main">
  <w:zoom w:percent="62"/>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a6ca8"/>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7a6ca8"/>
    <w:pPr>
      <w:keepNext w:val="true"/>
      <w:jc w:val="center"/>
      <w:outlineLvl w:val="0"/>
    </w:pPr>
    <w:rPr>
      <w:b/>
      <w:bCs/>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f05e43"/>
    <w:rPr>
      <w:b/>
      <w:bCs/>
      <w:sz w:val="24"/>
      <w:szCs w:val="24"/>
      <w:lang w:val="ru-RU" w:eastAsia="ru-RU" w:bidi="ar-SA"/>
    </w:rPr>
  </w:style>
  <w:style w:type="character" w:styleId="Style13" w:customStyle="1">
    <w:name w:val="Основной текст Знак"/>
    <w:link w:val="a3"/>
    <w:qFormat/>
    <w:rsid w:val="00f05e43"/>
    <w:rPr>
      <w:sz w:val="26"/>
      <w:szCs w:val="24"/>
      <w:lang w:val="ru-RU" w:eastAsia="ru-RU" w:bidi="ar-SA"/>
    </w:rPr>
  </w:style>
  <w:style w:type="character" w:styleId="Style14" w:customStyle="1">
    <w:name w:val="Текст выноски Знак"/>
    <w:link w:val="a5"/>
    <w:semiHidden/>
    <w:qFormat/>
    <w:rsid w:val="00f05e43"/>
    <w:rPr>
      <w:rFonts w:ascii="Tahoma" w:hAnsi="Tahoma" w:cs="Tahoma"/>
      <w:sz w:val="16"/>
      <w:szCs w:val="16"/>
      <w:lang w:val="ru-RU" w:eastAsia="ru-RU" w:bidi="ar-SA"/>
    </w:rPr>
  </w:style>
  <w:style w:type="character" w:styleId="Style15" w:customStyle="1">
    <w:name w:val="Верхний колонтитул Знак"/>
    <w:link w:val="a7"/>
    <w:qFormat/>
    <w:rsid w:val="00f05e43"/>
    <w:rPr>
      <w:sz w:val="24"/>
      <w:szCs w:val="24"/>
      <w:lang w:val="ru-RU" w:eastAsia="ru-RU" w:bidi="ar-SA"/>
    </w:rPr>
  </w:style>
  <w:style w:type="character" w:styleId="Style16" w:customStyle="1">
    <w:name w:val="Нижний колонтитул Знак"/>
    <w:link w:val="a9"/>
    <w:qFormat/>
    <w:rsid w:val="00f05e43"/>
    <w:rPr>
      <w:sz w:val="24"/>
      <w:szCs w:val="24"/>
      <w:lang w:val="ru-RU" w:eastAsia="ru-RU" w:bidi="ar-SA"/>
    </w:rPr>
  </w:style>
  <w:style w:type="character" w:styleId="Style17" w:customStyle="1">
    <w:name w:val="Основной текст с отступом Знак"/>
    <w:link w:val="ab"/>
    <w:qFormat/>
    <w:rsid w:val="006339a5"/>
    <w:rPr>
      <w:sz w:val="24"/>
      <w:szCs w:val="24"/>
    </w:rPr>
  </w:style>
  <w:style w:type="character" w:styleId="Style18" w:customStyle="1">
    <w:name w:val="Текст Знак"/>
    <w:link w:val="af"/>
    <w:qFormat/>
    <w:rsid w:val="006339a5"/>
    <w:rPr>
      <w:rFonts w:ascii="Consolas" w:hAnsi="Consolas" w:eastAsia="Calibri"/>
      <w:sz w:val="21"/>
      <w:szCs w:val="21"/>
      <w:lang w:eastAsia="en-US"/>
    </w:rPr>
  </w:style>
  <w:style w:type="character" w:styleId="FontStyle47" w:customStyle="1">
    <w:name w:val="Font Style47"/>
    <w:uiPriority w:val="99"/>
    <w:qFormat/>
    <w:rsid w:val="006339a5"/>
    <w:rPr>
      <w:rFonts w:ascii="Times New Roman" w:hAnsi="Times New Roman" w:cs="Times New Roman"/>
      <w:sz w:val="20"/>
      <w:szCs w:val="20"/>
    </w:rPr>
  </w:style>
  <w:style w:type="character" w:styleId="FontStyle11" w:customStyle="1">
    <w:name w:val="Font Style11"/>
    <w:uiPriority w:val="99"/>
    <w:qFormat/>
    <w:rsid w:val="006339a5"/>
    <w:rPr>
      <w:rFonts w:ascii="Times New Roman" w:hAnsi="Times New Roman" w:cs="Times New Roman"/>
      <w:sz w:val="22"/>
      <w:szCs w:val="22"/>
    </w:rPr>
  </w:style>
  <w:style w:type="character" w:styleId="Style19" w:customStyle="1">
    <w:name w:val="Без интервала Знак"/>
    <w:link w:val="ad"/>
    <w:uiPriority w:val="1"/>
    <w:qFormat/>
    <w:rsid w:val="00734827"/>
    <w:rPr>
      <w:rFonts w:ascii="Calibri" w:hAnsi="Calibri"/>
      <w:sz w:val="22"/>
      <w:szCs w:val="22"/>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4"/>
    <w:rsid w:val="007a6ca8"/>
    <w:pPr>
      <w:jc w:val="both"/>
    </w:pPr>
    <w:rPr>
      <w:sz w:val="26"/>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BalloonText">
    <w:name w:val="Balloon Text"/>
    <w:basedOn w:val="Normal"/>
    <w:link w:val="a6"/>
    <w:semiHidden/>
    <w:qFormat/>
    <w:rsid w:val="00c34959"/>
    <w:pPr/>
    <w:rPr>
      <w:rFonts w:ascii="Tahoma" w:hAnsi="Tahoma" w:cs="Tahoma"/>
      <w:sz w:val="16"/>
      <w:szCs w:val="16"/>
    </w:rPr>
  </w:style>
  <w:style w:type="paragraph" w:styleId="ConsPlusNormal" w:customStyle="1">
    <w:name w:val="ConsPlusNormal"/>
    <w:qFormat/>
    <w:rsid w:val="000e5a10"/>
    <w:pPr>
      <w:widowControl/>
      <w:bidi w:val="0"/>
      <w:spacing w:before="0" w:after="0"/>
      <w:jc w:val="left"/>
    </w:pPr>
    <w:rPr>
      <w:rFonts w:ascii="Arial" w:hAnsi="Arial" w:eastAsia="Calibri" w:cs="Arial"/>
      <w:color w:val="auto"/>
      <w:kern w:val="0"/>
      <w:sz w:val="20"/>
      <w:szCs w:val="20"/>
      <w:lang w:eastAsia="en-US" w:val="ru-RU" w:bidi="ar-SA"/>
    </w:rPr>
  </w:style>
  <w:style w:type="paragraph" w:styleId="Style25">
    <w:name w:val="Верхний и нижний колонтитулы"/>
    <w:basedOn w:val="Normal"/>
    <w:qFormat/>
    <w:pPr/>
    <w:rPr/>
  </w:style>
  <w:style w:type="paragraph" w:styleId="Style26">
    <w:name w:val="Header"/>
    <w:basedOn w:val="Normal"/>
    <w:link w:val="a8"/>
    <w:unhideWhenUsed/>
    <w:rsid w:val="00f05e43"/>
    <w:pPr>
      <w:tabs>
        <w:tab w:val="clear" w:pos="708"/>
        <w:tab w:val="center" w:pos="4677" w:leader="none"/>
        <w:tab w:val="right" w:pos="9355" w:leader="none"/>
      </w:tabs>
    </w:pPr>
    <w:rPr/>
  </w:style>
  <w:style w:type="paragraph" w:styleId="Style27">
    <w:name w:val="Footer"/>
    <w:basedOn w:val="Normal"/>
    <w:link w:val="aa"/>
    <w:unhideWhenUsed/>
    <w:rsid w:val="00f05e43"/>
    <w:pPr>
      <w:tabs>
        <w:tab w:val="clear" w:pos="708"/>
        <w:tab w:val="center" w:pos="4677" w:leader="none"/>
        <w:tab w:val="right" w:pos="9355" w:leader="none"/>
      </w:tabs>
    </w:pPr>
    <w:rPr/>
  </w:style>
  <w:style w:type="paragraph" w:styleId="ConsPlusCell" w:customStyle="1">
    <w:name w:val="ConsPlusCell"/>
    <w:uiPriority w:val="99"/>
    <w:qFormat/>
    <w:rsid w:val="00f05e43"/>
    <w:pPr>
      <w:widowControl/>
      <w:bidi w:val="0"/>
      <w:spacing w:before="0" w:after="0"/>
      <w:jc w:val="left"/>
    </w:pPr>
    <w:rPr>
      <w:rFonts w:ascii="Arial" w:hAnsi="Arial" w:eastAsia="Calibri" w:cs="Arial"/>
      <w:color w:val="auto"/>
      <w:kern w:val="0"/>
      <w:sz w:val="20"/>
      <w:szCs w:val="20"/>
      <w:lang w:eastAsia="en-US" w:val="ru-RU" w:bidi="ar-SA"/>
    </w:rPr>
  </w:style>
  <w:style w:type="paragraph" w:styleId="ConsPlusNonformat" w:customStyle="1">
    <w:name w:val="ConsPlusNonformat"/>
    <w:uiPriority w:val="99"/>
    <w:qFormat/>
    <w:rsid w:val="00f05e43"/>
    <w:pPr>
      <w:widowControl/>
      <w:bidi w:val="0"/>
      <w:spacing w:before="0" w:after="0"/>
      <w:jc w:val="left"/>
    </w:pPr>
    <w:rPr>
      <w:rFonts w:ascii="Courier New" w:hAnsi="Courier New" w:eastAsia="Calibri" w:cs="Courier New"/>
      <w:color w:val="auto"/>
      <w:kern w:val="0"/>
      <w:sz w:val="20"/>
      <w:szCs w:val="20"/>
      <w:lang w:eastAsia="en-US" w:val="ru-RU" w:bidi="ar-SA"/>
    </w:rPr>
  </w:style>
  <w:style w:type="paragraph" w:styleId="Style28">
    <w:name w:val="Body Text Indent"/>
    <w:basedOn w:val="Normal"/>
    <w:link w:val="ac"/>
    <w:rsid w:val="006339a5"/>
    <w:pPr>
      <w:spacing w:before="0" w:after="120"/>
      <w:ind w:left="283" w:hanging="0"/>
    </w:pPr>
    <w:rPr/>
  </w:style>
  <w:style w:type="paragraph" w:styleId="Default" w:customStyle="1">
    <w:name w:val="Default"/>
    <w:qFormat/>
    <w:rsid w:val="006339a5"/>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NoSpacing">
    <w:name w:val="No Spacing"/>
    <w:link w:val="ae"/>
    <w:uiPriority w:val="1"/>
    <w:qFormat/>
    <w:rsid w:val="006339a5"/>
    <w:pPr>
      <w:widowControl/>
      <w:bidi w:val="0"/>
      <w:spacing w:before="0" w:after="0"/>
      <w:jc w:val="left"/>
    </w:pPr>
    <w:rPr>
      <w:rFonts w:ascii="Calibri" w:hAnsi="Calibri" w:eastAsia="Times New Roman" w:cs="Times New Roman"/>
      <w:color w:val="auto"/>
      <w:kern w:val="0"/>
      <w:sz w:val="22"/>
      <w:szCs w:val="22"/>
      <w:lang w:val="ru-RU" w:eastAsia="ru-RU" w:bidi="ar-SA"/>
    </w:rPr>
  </w:style>
  <w:style w:type="paragraph" w:styleId="PlainText">
    <w:name w:val="Plain Text"/>
    <w:basedOn w:val="Normal"/>
    <w:link w:val="af0"/>
    <w:unhideWhenUsed/>
    <w:qFormat/>
    <w:rsid w:val="006339a5"/>
    <w:pPr/>
    <w:rPr>
      <w:rFonts w:ascii="Consolas" w:hAnsi="Consolas" w:eastAsia="Calibri"/>
      <w:sz w:val="21"/>
      <w:szCs w:val="21"/>
      <w:lang w:eastAsia="en-US"/>
    </w:rPr>
  </w:style>
  <w:style w:type="paragraph" w:styleId="Style271" w:customStyle="1">
    <w:name w:val="Style27"/>
    <w:basedOn w:val="Normal"/>
    <w:uiPriority w:val="99"/>
    <w:qFormat/>
    <w:rsid w:val="006339a5"/>
    <w:pPr>
      <w:widowControl w:val="false"/>
      <w:spacing w:lineRule="exact" w:line="278"/>
    </w:pPr>
    <w:rPr/>
  </w:style>
  <w:style w:type="paragraph" w:styleId="Style31" w:customStyle="1">
    <w:name w:val="Style3"/>
    <w:basedOn w:val="Normal"/>
    <w:uiPriority w:val="99"/>
    <w:qFormat/>
    <w:rsid w:val="006339a5"/>
    <w:pPr>
      <w:widowControl w:val="false"/>
      <w:spacing w:lineRule="exact" w:line="269"/>
    </w:pPr>
    <w:rPr/>
  </w:style>
  <w:style w:type="paragraph" w:styleId="ListParagraph">
    <w:name w:val="List Paragraph"/>
    <w:basedOn w:val="Normal"/>
    <w:uiPriority w:val="34"/>
    <w:qFormat/>
    <w:rsid w:val="006339a5"/>
    <w:pPr>
      <w:spacing w:lineRule="auto" w:line="276" w:before="0" w:after="200"/>
      <w:ind w:left="720" w:hanging="0"/>
      <w:contextualSpacing/>
    </w:pPr>
    <w:rPr>
      <w:rFonts w:ascii="Calibri" w:hAnsi="Calibri"/>
      <w:sz w:val="22"/>
      <w:szCs w:val="22"/>
    </w:rPr>
  </w:style>
  <w:style w:type="paragraph" w:styleId="Style29" w:customStyle="1">
    <w:name w:val="Содержимое таблицы"/>
    <w:basedOn w:val="Normal"/>
    <w:qFormat/>
    <w:rsid w:val="003a3c2d"/>
    <w:pPr>
      <w:widowControl w:val="false"/>
      <w:suppressLineNumbers/>
      <w:suppressAutoHyphens w:val="true"/>
    </w:pPr>
    <w:rPr>
      <w:rFonts w:eastAsia="Andale Sans UI"/>
      <w:kern w:val="2"/>
    </w:rPr>
  </w:style>
  <w:style w:type="paragraph" w:styleId="ConsPlusTitle" w:customStyle="1">
    <w:name w:val="ConsPlusTitle"/>
    <w:qFormat/>
    <w:rsid w:val="003a3c2d"/>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rsid w:val="00ee1d3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47C6-E007-40B8-B021-7BEF1DB0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Application>LibreOffice/7.1.1.2$Windows_x86 LibreOffice_project/fe0b08f4af1bacafe4c7ecc87ce55bb426164676</Application>
  <AppVersion>15.0000</AppVersion>
  <Pages>12</Pages>
  <Words>2406</Words>
  <Characters>17110</Characters>
  <CharactersWithSpaces>20648</CharactersWithSpaces>
  <Paragraphs>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2022-03-11T08:23:00Z</dcterms:created>
  <dc:creator>-</dc:creator>
  <dc:description/>
  <dc:language>ru-RU</dc:language>
  <cp:lastModifiedBy>User</cp:lastModifiedBy>
  <cp:lastPrinted>2024-02-08T08:39:00Z</cp:lastPrinted>
  <dcterms:modified xsi:type="dcterms:W3CDTF">2024-02-09T02:55:00Z</dcterms:modified>
  <cp:revision>22</cp:revision>
  <dc:subject/>
  <dc:title>РОССИЯ ФЕДЕРАЦИЯЗЫ</dc:title>
</cp:coreProperties>
</file>

<file path=docProps/custom.xml><?xml version="1.0" encoding="utf-8"?>
<Properties xmlns="http://schemas.openxmlformats.org/officeDocument/2006/custom-properties" xmlns:vt="http://schemas.openxmlformats.org/officeDocument/2006/docPropsVTypes"/>
</file>